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ДОГОВОР О ВНЕСЕНИИ ЗАДАТКА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 УЧАСТИЕ В ЭЛЕКТРОННЫХ ТОРГАХ № 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Москва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«__» ___________ 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РУССИА ОнЛайн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лице генерального директора, действующего на основании Устава, 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Оператор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Электронной торговой площадки РУССИА ОнЛайн, с одной стороны, 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лице ________________, а также ___________________________________________________________ 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лице ________________, заключили настоящий настоящий договор о нижеследующем: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ПРЕДМЕТ ДОГОВОРА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 торгов передает, а Оператор принимает задаток в размере ____________ рублей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 торгов обязуется подтвердить Организатору торгов внесение задатка на расчетный счет установленными действующим законодательством документами. Требования к порядку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торгов обязуется оплатить банковскую комиссию за услуги по предоставлению расчетного счета для приема задатков.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РЕКВИЗИТЫ ОПЛАТЫ ЗАДАТКА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Реквизиты для перечисления задатка: расчетный счет р/с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РУССИА ОнЛайн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»: № 40702810500000149166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Филиал "ЦЕНТРАЛЬНЫЙ" Банка ВТБ ПАО Г. МОСКВА, к/с 30101810145250000411, БИК 044525411</w:t>
      </w:r>
      <w:r>
        <w:rPr>
          <w:rFonts w:ascii="Open Sans" w:hAnsi="Open Sans" w:cs="Open Sans" w:eastAsia="Open Sans"/>
          <w:color w:val="808D9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 7715401966;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КПП 773001001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ПОРЯДОК ВОЗВРАТА ЗАДАТКА. ПОРЯДОК ПЕРЕЧИСЛЕНИЯ ЗАДАТКА ПОБЕДИТЕЛЯ ТОРГОВ НА СЧЕТ ДОЛЖНИКА (ОРГАНИЗАТОРА ТОРГОВ)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Участнику торгов – юридическому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Победителю торгов задаток засчитывается в счет оплаты за имущество,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уклонении или отказе победителя открытых торгов, от подписания в установленный срок протокола о результатах торгов, либо от заключения договора купли-продажи имущества,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ОПЛАТЫ УСЛУГИ ПО ПРЕДОСТАВЛЕНИЮ РАСЧЕТНОГО СЧЕТА ДЛЯ ПРИЕМА ЗАДАТКОВ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банкротов, Организатором торгов имуществом которых он является.</w:t>
      </w:r>
    </w:p>
    <w:p>
      <w:pPr>
        <w:numPr>
          <w:ilvl w:val="0"/>
          <w:numId w:val="17"/>
        </w:numPr>
        <w:spacing w:before="0" w:after="0" w:line="240"/>
        <w:ind w:right="0" w:left="1174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Комиссия банка, обслуживающего расчетный счет Оператора, составляет: </w:t>
      </w:r>
    </w:p>
    <w:tbl>
      <w:tblPr>
        <w:tblInd w:w="15" w:type="dxa"/>
      </w:tblPr>
      <w:tblGrid>
        <w:gridCol w:w="7202"/>
        <w:gridCol w:w="2137"/>
      </w:tblGrid>
      <w:tr>
        <w:trPr>
          <w:trHeight w:val="510" w:hRule="auto"/>
          <w:jc w:val="left"/>
        </w:trPr>
        <w:tc>
          <w:tcPr>
            <w:tcW w:w="7202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 комиссии банка</w:t>
            </w:r>
          </w:p>
        </w:tc>
      </w:tr>
      <w:tr>
        <w:trPr>
          <w:trHeight w:val="300" w:hRule="auto"/>
          <w:jc w:val="left"/>
        </w:trPr>
        <w:tc>
          <w:tcPr>
            <w:tcW w:w="7202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2 000 000 рублей</w:t>
            </w:r>
          </w:p>
        </w:tc>
        <w:tc>
          <w:tcPr>
            <w:tcW w:w="2137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1,5%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суммы</w:t>
            </w:r>
          </w:p>
        </w:tc>
      </w:tr>
      <w:tr>
        <w:trPr>
          <w:trHeight w:val="300" w:hRule="auto"/>
          <w:jc w:val="left"/>
        </w:trPr>
        <w:tc>
          <w:tcPr>
            <w:tcW w:w="7202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2 000 001 до 4 000 000 рублей</w:t>
            </w:r>
          </w:p>
        </w:tc>
        <w:tc>
          <w:tcPr>
            <w:tcW w:w="2137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2,5%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суммы</w:t>
            </w:r>
          </w:p>
        </w:tc>
      </w:tr>
      <w:tr>
        <w:trPr>
          <w:trHeight w:val="300" w:hRule="auto"/>
          <w:jc w:val="left"/>
        </w:trPr>
        <w:tc>
          <w:tcPr>
            <w:tcW w:w="7202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4 000 001 до 5 000 000 рублей</w:t>
            </w:r>
          </w:p>
        </w:tc>
        <w:tc>
          <w:tcPr>
            <w:tcW w:w="2137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суммы</w:t>
            </w:r>
          </w:p>
        </w:tc>
      </w:tr>
      <w:tr>
        <w:trPr>
          <w:trHeight w:val="300" w:hRule="auto"/>
          <w:jc w:val="left"/>
        </w:trPr>
        <w:tc>
          <w:tcPr>
            <w:tcW w:w="7202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свыше 5 000 001 рубля</w:t>
            </w:r>
          </w:p>
        </w:tc>
        <w:tc>
          <w:tcPr>
            <w:tcW w:w="2137" w:type="dxa"/>
            <w:tcBorders>
              <w:top w:val="single" w:color="707070" w:sz="6"/>
              <w:left w:val="single" w:color="707070" w:sz="6"/>
              <w:bottom w:val="single" w:color="707070" w:sz="6"/>
              <w:right w:val="single" w:color="707070" w:sz="6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" w:after="15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суммы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перечисления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поступившего задатка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ИНЫЕ УСЛОВИЯ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Споры, возникшие в результате действия настоящего договора, разрешаются в установленном порядке в Арбитражном суде г. Москвы.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Настоящий Договор составлен в 3 (Трех) экземплярах, имеющих одинаковую юридическую силу, по одному для каждой из Сторон.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РЕКВИЗИТЫ СТОРОН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34"/>
        <w:gridCol w:w="4987"/>
      </w:tblGrid>
      <w:tr>
        <w:trPr>
          <w:trHeight w:val="357" w:hRule="auto"/>
          <w:jc w:val="left"/>
        </w:trPr>
        <w:tc>
          <w:tcPr>
            <w:tcW w:w="4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Оператор торговой площадки</w:t>
            </w:r>
          </w:p>
        </w:tc>
        <w:tc>
          <w:tcPr>
            <w:tcW w:w="4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 торгов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3" w:hRule="auto"/>
          <w:jc w:val="left"/>
        </w:trPr>
        <w:tc>
          <w:tcPr>
            <w:tcW w:w="4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РУССИА ОнЛайн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Юридический адрес: </w:t>
            </w:r>
            <w:r>
              <w:rPr>
                <w:rFonts w:ascii="Tahoma" w:hAnsi="Tahoma" w:cs="Tahoma" w:eastAsia="Tahoma"/>
                <w:color w:val="141414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41414"/>
                <w:spacing w:val="0"/>
                <w:position w:val="0"/>
                <w:sz w:val="22"/>
                <w:shd w:fill="FFFFFF" w:val="clear"/>
              </w:rPr>
              <w:t xml:space="preserve">121087, г. Москва, ул. Заречная, 5-2-12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Фактический адрес и адрес для корреспонденции: 105082, г. Москва, ул. Фридриха Энгельса, д.75, стр.5, оф. 621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ОГРН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1157746027878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ИНН/КПП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7715401966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/773001001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р/с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РУССИА ОнЛайн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№ 40702810300000149166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Филиал № 7701 Банка ВТБ (ПАО) Г. МОСКВА, к/с 30101810345250000745, БИК 044525745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Тел. (495) 917-90-36, 669-34-07, 669-36-71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E-mail: rus-on@rus-on.ru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Генеральный директор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Голобородько Р. Э.___________________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4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Наименование&gt;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Юридический адрес: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Юр. Адрес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Фактический адрес: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Факт адрес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ОГРН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 ИНН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КПП: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КПП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Р/с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Р/с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К/с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Номер корреспондентского счета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БИК: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 БИК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E-mail: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E-mail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Руководитель, уполномоченное лицо&gt;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9" w:hRule="auto"/>
          <w:jc w:val="left"/>
        </w:trPr>
        <w:tc>
          <w:tcPr>
            <w:tcW w:w="4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Организатор торгов</w:t>
            </w:r>
          </w:p>
        </w:tc>
        <w:tc>
          <w:tcPr>
            <w:tcW w:w="4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3" w:hRule="auto"/>
          <w:jc w:val="left"/>
        </w:trPr>
        <w:tc>
          <w:tcPr>
            <w:tcW w:w="4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Наименование&gt;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Юридический адрес: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Юр. Адрес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Фактический адрес: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Факт адрес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ОГРН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 ИНН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КПП: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КПП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Р/с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Р/с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К/с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Номер корреспондентского счета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БИК: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 БИК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E-mail: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E-mail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Руководитель, уполномоченное лицо&gt;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8">
    <w:abstractNumId w:val="24"/>
  </w:num>
  <w:num w:numId="12">
    <w:abstractNumId w:val="18"/>
  </w:num>
  <w:num w:numId="15">
    <w:abstractNumId w:val="12"/>
  </w:num>
  <w:num w:numId="17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