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spacing w:line="240" w:lineRule="atLeas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</w:t>
      </w:r>
      <w:r/>
    </w:p>
    <w:p>
      <w:pPr>
        <w:contextualSpacing/>
        <w:jc w:val="center"/>
        <w:spacing w:line="160" w:lineRule="atLeast"/>
        <w:rPr>
          <w:rFonts w:ascii="Georgia" w:hAnsi="Georgia" w:cs="Georgia" w:eastAsia="Georgia"/>
          <w:sz w:val="18"/>
        </w:rPr>
      </w:pPr>
      <w:r>
        <w:rPr>
          <w:rFonts w:ascii="Georgia" w:hAnsi="Georgia" w:cs="Georgia" w:eastAsia="Georgia"/>
          <w:b/>
          <w:sz w:val="18"/>
          <w:szCs w:val="28"/>
        </w:rPr>
        <w:t xml:space="preserve">Гражданка Корноух Людмила Ивановна</w:t>
      </w:r>
      <w:r>
        <w:rPr>
          <w:rFonts w:ascii="Georgia" w:hAnsi="Georgia" w:cs="Georgia" w:eastAsia="Georgia"/>
          <w:sz w:val="18"/>
        </w:rPr>
      </w:r>
      <w:r/>
    </w:p>
    <w:p>
      <w:pPr>
        <w:contextualSpacing/>
        <w:jc w:val="center"/>
        <w:spacing w:line="160" w:lineRule="atLeast"/>
        <w:rPr>
          <w:rFonts w:ascii="Georgia" w:hAnsi="Georgia" w:cs="Georgia" w:eastAsia="Georgia"/>
          <w:b/>
          <w:sz w:val="18"/>
          <w:szCs w:val="16"/>
        </w:rPr>
      </w:pPr>
      <w:r>
        <w:rPr>
          <w:rFonts w:ascii="Georgia" w:hAnsi="Georgia" w:cs="Georgia" w:eastAsia="Georgia"/>
          <w:b/>
          <w:sz w:val="18"/>
          <w:szCs w:val="16"/>
        </w:rPr>
      </w:r>
      <w:r>
        <w:rPr>
          <w:rFonts w:ascii="Georgia" w:hAnsi="Georgia" w:cs="Georgia" w:eastAsia="Georgia"/>
          <w:b/>
          <w:sz w:val="18"/>
        </w:rPr>
        <w:t xml:space="preserve">дата рождения 01.02.1958, место рождения: Владимирская обл., г. ГусьХрустальный, адрес регистрации (место жительства): 601500, Владимирская обл., г. Гусь-Хрустальный, ул. Интернациональная, д. 46, кв. 44, СНИЛС 018- 709-558-74, ИНН 330402117648)</w:t>
      </w:r>
      <w:r>
        <w:rPr>
          <w:rFonts w:ascii="Georgia" w:hAnsi="Georgia" w:cs="Georgia" w:eastAsia="Georgia"/>
          <w:b/>
          <w:sz w:val="18"/>
        </w:rPr>
      </w:r>
      <w:r/>
    </w:p>
    <w:p>
      <w:pPr>
        <w:contextualSpacing/>
        <w:jc w:val="center"/>
        <w:spacing w:line="160" w:lineRule="atLeast"/>
        <w:rPr>
          <w:rFonts w:ascii="Georgia" w:hAnsi="Georgia" w:cs="Georgia" w:eastAsia="Georgia"/>
          <w:b/>
          <w:sz w:val="18"/>
          <w:szCs w:val="32"/>
        </w:rPr>
      </w:pPr>
      <w:r>
        <w:rPr>
          <w:rFonts w:ascii="Georgia" w:hAnsi="Georgia" w:cs="Georgia" w:eastAsia="Georgia"/>
          <w:b/>
          <w:sz w:val="18"/>
          <w:szCs w:val="32"/>
        </w:rPr>
        <w:t xml:space="preserve">Финансовый управляющий Жуков Михаил Николаевич</w:t>
      </w:r>
      <w:r>
        <w:rPr>
          <w:rFonts w:ascii="Georgia" w:hAnsi="Georgia" w:cs="Georgia" w:eastAsia="Georgia"/>
          <w:sz w:val="18"/>
        </w:rPr>
      </w:r>
      <w:r/>
    </w:p>
    <w:p>
      <w:pPr>
        <w:contextualSpacing/>
        <w:jc w:val="center"/>
        <w:spacing w:line="160" w:lineRule="atLeast"/>
        <w:rPr>
          <w:rFonts w:ascii="Georgia" w:hAnsi="Georgia" w:cs="Georgia" w:eastAsia="Georgia"/>
          <w:sz w:val="18"/>
          <w:szCs w:val="16"/>
        </w:rPr>
      </w:pPr>
      <w:r>
        <w:rPr>
          <w:rFonts w:ascii="Georgia" w:hAnsi="Georgia" w:cs="Georgia" w:eastAsia="Georgia"/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1" behindDoc="0" locked="0" layoutInCell="1" allowOverlap="1">
                <wp:simplePos x="0" y="0"/>
                <wp:positionH relativeFrom="column">
                  <wp:posOffset>287020</wp:posOffset>
                </wp:positionH>
                <wp:positionV relativeFrom="paragraph">
                  <wp:posOffset>57150</wp:posOffset>
                </wp:positionV>
                <wp:extent cx="5770880" cy="0"/>
                <wp:effectExtent l="0" t="0" r="0" b="0"/>
                <wp:wrapNone/>
                <wp:docPr id="1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77088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3816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0" o:spid="_x0000_s0" o:spt="20" style="position:absolute;mso-wrap-distance-left:9.0pt;mso-wrap-distance-top:0.0pt;mso-wrap-distance-right:9.0pt;mso-wrap-distance-bottom:0.0pt;z-index:1;o:allowoverlap:true;o:allowincell:true;mso-position-horizontal-relative:text;margin-left:22.6pt;mso-position-horizontal:absolute;mso-position-vertical-relative:text;margin-top:4.5pt;mso-position-vertical:absolute;width:454.4pt;height:0.0pt;" coordsize="100000,100000" path="" fillcolor="#FFFFFF" strokecolor="#000000" strokeweight="3.00pt">
                <v:path textboxrect="0,0,0,0"/>
              </v:shape>
            </w:pict>
          </mc:Fallback>
        </mc:AlternateContent>
      </w:r>
      <w:r>
        <w:rPr>
          <w:rFonts w:ascii="Georgia" w:hAnsi="Georgia" w:cs="Georgia" w:eastAsia="Georgia"/>
          <w:sz w:val="18"/>
        </w:rPr>
      </w:r>
      <w:r/>
    </w:p>
    <w:p>
      <w:pPr>
        <w:contextualSpacing/>
        <w:jc w:val="center"/>
        <w:spacing w:line="160" w:lineRule="atLeast"/>
        <w:rPr>
          <w:rFonts w:ascii="Georgia" w:hAnsi="Georgia" w:cs="Georgia" w:eastAsia="Georgia"/>
          <w:sz w:val="18"/>
        </w:rPr>
      </w:pPr>
      <w:r>
        <w:rPr>
          <w:rFonts w:ascii="Georgia" w:hAnsi="Georgia" w:cs="Georgia" w:eastAsia="Georgia"/>
          <w:b/>
          <w:sz w:val="18"/>
          <w:szCs w:val="16"/>
        </w:rPr>
        <w:t xml:space="preserve">Адрес для корреспонденции</w:t>
      </w:r>
      <w:r>
        <w:rPr>
          <w:rFonts w:ascii="Georgia" w:hAnsi="Georgia" w:cs="Georgia" w:eastAsia="Georgia"/>
          <w:sz w:val="18"/>
          <w:szCs w:val="16"/>
        </w:rPr>
        <w:t xml:space="preserve">: </w:t>
      </w:r>
      <w:r>
        <w:rPr>
          <w:rFonts w:ascii="Georgia" w:hAnsi="Georgia" w:cs="Georgia" w:eastAsia="Georgia"/>
          <w:sz w:val="18"/>
          <w:szCs w:val="16"/>
        </w:rPr>
        <w:t xml:space="preserve">150000, г. Ярославль, а/я 1</w:t>
      </w:r>
      <w:r>
        <w:rPr>
          <w:rFonts w:ascii="Georgia" w:hAnsi="Georgia" w:cs="Georgia" w:eastAsia="Georgia"/>
          <w:sz w:val="18"/>
          <w:szCs w:val="16"/>
        </w:rPr>
        <w:t xml:space="preserve">. </w:t>
      </w:r>
      <w:r>
        <w:rPr>
          <w:rFonts w:ascii="Georgia" w:hAnsi="Georgia" w:cs="Georgia" w:eastAsia="Georgia"/>
          <w:b/>
          <w:sz w:val="18"/>
          <w:szCs w:val="16"/>
        </w:rPr>
        <w:t xml:space="preserve">Тел</w:t>
      </w:r>
      <w:r>
        <w:rPr>
          <w:rFonts w:ascii="Georgia" w:hAnsi="Georgia" w:cs="Georgia" w:eastAsia="Georgia"/>
          <w:b/>
          <w:sz w:val="18"/>
          <w:szCs w:val="16"/>
        </w:rPr>
        <w:t xml:space="preserve">. </w:t>
      </w:r>
      <w:r>
        <w:rPr>
          <w:rFonts w:ascii="Georgia" w:hAnsi="Georgia" w:cs="Georgia" w:eastAsia="Georgia"/>
          <w:b/>
          <w:sz w:val="18"/>
          <w:szCs w:val="16"/>
        </w:rPr>
        <w:t xml:space="preserve">т</w:t>
      </w:r>
      <w:r>
        <w:rPr>
          <w:rFonts w:ascii="Georgia" w:hAnsi="Georgia" w:cs="Georgia" w:eastAsia="Georgia"/>
          <w:b/>
          <w:sz w:val="18"/>
          <w:szCs w:val="16"/>
        </w:rPr>
        <w:t xml:space="preserve">. +7-910-978-90-46</w:t>
      </w:r>
      <w:r>
        <w:rPr>
          <w:rFonts w:ascii="Georgia" w:hAnsi="Georgia" w:cs="Georgia" w:eastAsia="Georgia"/>
          <w:sz w:val="18"/>
          <w:szCs w:val="16"/>
        </w:rPr>
        <w:t xml:space="preserve">, </w:t>
      </w:r>
      <w:r>
        <w:rPr>
          <w:rFonts w:ascii="Georgia" w:hAnsi="Georgia" w:cs="Georgia" w:eastAsia="Georgia"/>
          <w:sz w:val="18"/>
        </w:rPr>
      </w:r>
      <w:r/>
    </w:p>
    <w:p>
      <w:pPr>
        <w:contextualSpacing/>
        <w:jc w:val="center"/>
        <w:spacing w:line="160" w:lineRule="atLeast"/>
        <w:rPr>
          <w:rFonts w:ascii="Georgia" w:hAnsi="Georgia" w:cs="Georgia" w:eastAsia="Georgia"/>
          <w:sz w:val="18"/>
        </w:rPr>
      </w:pPr>
      <w:r>
        <w:rPr>
          <w:rFonts w:ascii="Georgia" w:hAnsi="Georgia" w:cs="Georgia" w:eastAsia="Georgia"/>
          <w:sz w:val="18"/>
          <w:szCs w:val="16"/>
          <w:lang w:val="en-US"/>
        </w:rPr>
        <w:t xml:space="preserve">e</w:t>
      </w:r>
      <w:r>
        <w:rPr>
          <w:rFonts w:ascii="Georgia" w:hAnsi="Georgia" w:cs="Georgia" w:eastAsia="Georgia"/>
          <w:sz w:val="18"/>
          <w:szCs w:val="16"/>
        </w:rPr>
        <w:t xml:space="preserve">-</w:t>
      </w:r>
      <w:r>
        <w:rPr>
          <w:rFonts w:ascii="Georgia" w:hAnsi="Georgia" w:cs="Georgia" w:eastAsia="Georgia"/>
          <w:sz w:val="18"/>
          <w:szCs w:val="16"/>
          <w:lang w:val="en-US"/>
        </w:rPr>
        <w:t xml:space="preserve">mail</w:t>
      </w:r>
      <w:r>
        <w:rPr>
          <w:rFonts w:ascii="Georgia" w:hAnsi="Georgia" w:cs="Georgia" w:eastAsia="Georgia"/>
          <w:sz w:val="18"/>
          <w:szCs w:val="16"/>
        </w:rPr>
        <w:t xml:space="preserve">: </w:t>
      </w:r>
      <w:r>
        <w:rPr>
          <w:rFonts w:ascii="Georgia" w:hAnsi="Georgia" w:cs="Georgia" w:eastAsia="Georgia"/>
          <w:sz w:val="18"/>
          <w:szCs w:val="16"/>
          <w:lang w:val="en-US"/>
        </w:rPr>
        <w:t xml:space="preserve">mnzhukov</w:t>
      </w:r>
      <w:r>
        <w:rPr>
          <w:rFonts w:ascii="Georgia" w:hAnsi="Georgia" w:cs="Georgia" w:eastAsia="Georgia"/>
          <w:sz w:val="18"/>
          <w:szCs w:val="16"/>
        </w:rPr>
        <w:t xml:space="preserve">@</w:t>
      </w:r>
      <w:r>
        <w:rPr>
          <w:rFonts w:ascii="Georgia" w:hAnsi="Georgia" w:cs="Georgia" w:eastAsia="Georgia"/>
          <w:sz w:val="18"/>
          <w:szCs w:val="16"/>
          <w:lang w:val="en-US"/>
        </w:rPr>
        <w:t xml:space="preserve">gmail</w:t>
      </w:r>
      <w:r>
        <w:rPr>
          <w:rFonts w:ascii="Georgia" w:hAnsi="Georgia" w:cs="Georgia" w:eastAsia="Georgia"/>
          <w:sz w:val="18"/>
          <w:szCs w:val="16"/>
        </w:rPr>
        <w:t xml:space="preserve">.</w:t>
      </w:r>
      <w:r>
        <w:rPr>
          <w:rFonts w:ascii="Georgia" w:hAnsi="Georgia" w:cs="Georgia" w:eastAsia="Georgia"/>
          <w:sz w:val="18"/>
          <w:szCs w:val="16"/>
          <w:lang w:val="en-US"/>
        </w:rPr>
        <w:t xml:space="preserve">com</w:t>
      </w:r>
      <w:r>
        <w:rPr>
          <w:rFonts w:ascii="Georgia" w:hAnsi="Georgia" w:cs="Georgia" w:eastAsia="Georgia"/>
          <w:sz w:val="18"/>
        </w:rPr>
      </w:r>
      <w:r/>
    </w:p>
    <w:p>
      <w:pPr>
        <w:contextualSpacing/>
        <w:jc w:val="center"/>
        <w:spacing w:line="160" w:lineRule="atLeast"/>
        <w:rPr>
          <w:rFonts w:ascii="Georgia" w:hAnsi="Georgia" w:cs="Georgia" w:eastAsia="Georgia"/>
          <w:sz w:val="18"/>
        </w:rPr>
      </w:pPr>
      <w:r>
        <w:rPr>
          <w:rFonts w:ascii="Georgia" w:hAnsi="Georgia" w:cs="Georgia" w:eastAsia="Georgia"/>
          <w:b/>
          <w:bCs/>
          <w:sz w:val="18"/>
          <w:szCs w:val="18"/>
        </w:rPr>
        <w:t xml:space="preserve">Процедура</w:t>
      </w:r>
      <w:r>
        <w:rPr>
          <w:rFonts w:ascii="Georgia" w:hAnsi="Georgia" w:cs="Georgia" w:eastAsia="Georgia"/>
          <w:sz w:val="18"/>
          <w:szCs w:val="18"/>
        </w:rPr>
        <w:t xml:space="preserve">: реализация имущества. </w:t>
      </w:r>
      <w:r>
        <w:rPr>
          <w:rFonts w:ascii="Georgia" w:hAnsi="Georgia" w:cs="Georgia" w:eastAsia="Georgia"/>
          <w:b/>
          <w:bCs/>
          <w:sz w:val="18"/>
          <w:szCs w:val="18"/>
        </w:rPr>
        <w:t xml:space="preserve">Арбитражный суд</w:t>
      </w:r>
      <w:r>
        <w:rPr>
          <w:rFonts w:ascii="Georgia" w:hAnsi="Georgia" w:cs="Georgia" w:eastAsia="Georgia"/>
          <w:sz w:val="18"/>
          <w:szCs w:val="18"/>
        </w:rPr>
        <w:t xml:space="preserve">: Владимирской области.</w:t>
      </w:r>
      <w:r>
        <w:rPr>
          <w:rFonts w:ascii="Georgia" w:hAnsi="Georgia" w:cs="Georgia" w:eastAsia="Georgia"/>
          <w:sz w:val="18"/>
        </w:rPr>
      </w:r>
      <w:r/>
    </w:p>
    <w:p>
      <w:pPr>
        <w:contextualSpacing/>
        <w:jc w:val="center"/>
        <w:spacing w:line="160" w:lineRule="atLeast"/>
        <w:rPr>
          <w:rFonts w:ascii="Georgia" w:hAnsi="Georgia" w:cs="Georgia" w:eastAsia="Georgia"/>
          <w:sz w:val="18"/>
        </w:rPr>
      </w:pPr>
      <w:r>
        <w:rPr>
          <w:rFonts w:ascii="Georgia" w:hAnsi="Georgia" w:cs="Georgia" w:eastAsia="Georgia"/>
          <w:b/>
          <w:bCs/>
          <w:sz w:val="18"/>
          <w:szCs w:val="18"/>
        </w:rPr>
        <w:t xml:space="preserve">Решение:</w:t>
      </w:r>
      <w:r>
        <w:rPr>
          <w:rFonts w:ascii="Georgia" w:hAnsi="Georgia" w:cs="Georgia" w:eastAsia="Georgia"/>
          <w:sz w:val="18"/>
          <w:szCs w:val="18"/>
        </w:rPr>
        <w:t xml:space="preserve"> от 01.07.2022 года. </w:t>
      </w:r>
      <w:r>
        <w:rPr>
          <w:rFonts w:ascii="Georgia" w:hAnsi="Georgia" w:cs="Georgia" w:eastAsia="Georgia"/>
          <w:b/>
          <w:bCs/>
          <w:sz w:val="18"/>
          <w:szCs w:val="18"/>
        </w:rPr>
        <w:t xml:space="preserve">Дело </w:t>
      </w:r>
      <w:r>
        <w:rPr>
          <w:rFonts w:ascii="Georgia" w:hAnsi="Georgia" w:cs="Georgia" w:eastAsia="Georgia"/>
          <w:sz w:val="18"/>
          <w:szCs w:val="18"/>
        </w:rPr>
        <w:t xml:space="preserve">№ </w:t>
      </w:r>
      <w:r>
        <w:rPr>
          <w:rFonts w:ascii="Georgia" w:hAnsi="Georgia" w:cs="Georgia" w:eastAsia="Georgia"/>
          <w:sz w:val="18"/>
        </w:rPr>
        <w:t xml:space="preserve">А11-3012/2022</w:t>
      </w:r>
      <w:r>
        <w:rPr>
          <w:rFonts w:ascii="Georgia" w:hAnsi="Georgia" w:cs="Georgia" w:eastAsia="Georgia"/>
          <w:sz w:val="18"/>
        </w:rPr>
      </w:r>
      <w:r/>
    </w:p>
    <w:p>
      <w:pPr>
        <w:contextualSpacing/>
        <w:jc w:val="center"/>
        <w:spacing w:line="160" w:lineRule="atLeast"/>
        <w:rPr>
          <w:rFonts w:ascii="Georgia" w:hAnsi="Georgia" w:cs="Georgia" w:eastAsia="Georgia"/>
          <w:sz w:val="18"/>
        </w:rPr>
      </w:pPr>
      <w:r>
        <w:rPr>
          <w:rFonts w:ascii="Georgia" w:hAnsi="Georgia" w:cs="Georgia" w:eastAsia="Georgia"/>
          <w:sz w:val="18"/>
        </w:rPr>
      </w:r>
      <w:r>
        <w:rPr>
          <w:rFonts w:ascii="Georgia" w:hAnsi="Georgia" w:cs="Georgia" w:eastAsia="Georgia"/>
          <w:sz w:val="18"/>
        </w:rPr>
      </w:r>
      <w:r/>
    </w:p>
    <w:p>
      <w:pPr>
        <w:contextualSpacing/>
        <w:jc w:val="center"/>
        <w:spacing w:line="160" w:lineRule="atLeast"/>
      </w:pPr>
      <w:r/>
      <w:r/>
    </w:p>
    <w:p>
      <w:pPr>
        <w:contextualSpacing/>
        <w:jc w:val="center"/>
        <w:spacing w:line="240" w:lineRule="atLeas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/>
    </w:p>
    <w:p>
      <w:pPr>
        <w:contextualSpacing/>
        <w:spacing w:line="240" w:lineRule="atLeas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/>
    </w:p>
    <w:p>
      <w:pPr>
        <w:contextualSpacing/>
        <w:spacing w:line="240" w:lineRule="atLeas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/>
    </w:p>
    <w:p>
      <w:pPr>
        <w:contextualSpacing/>
        <w:jc w:val="center"/>
        <w:spacing w:line="240" w:lineRule="atLeas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Положение</w:t>
      </w:r>
      <w:r/>
    </w:p>
    <w:p>
      <w:pPr>
        <w:contextualSpacing/>
        <w:jc w:val="center"/>
        <w:spacing w:line="24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порядке, об условиях и о сроках реализации имущества гражданина </w:t>
      </w:r>
      <w:r>
        <w:rPr>
          <w:rFonts w:ascii="Times New Roman" w:hAnsi="Times New Roman"/>
          <w:b/>
          <w:sz w:val="24"/>
          <w:szCs w:val="24"/>
        </w:rPr>
        <w:t xml:space="preserve">Корноух Людмилы Ивановны</w:t>
      </w:r>
      <w:r/>
    </w:p>
    <w:p>
      <w:pPr>
        <w:contextualSpacing/>
        <w:spacing w:line="240" w:lineRule="atLeas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/>
    </w:p>
    <w:p>
      <w:pPr>
        <w:numPr>
          <w:ilvl w:val="1"/>
          <w:numId w:val="3"/>
        </w:numPr>
        <w:contextualSpacing/>
        <w:jc w:val="both"/>
        <w:spacing w:line="24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Настоящее Положение устанавливает порядок, сроки и условия проведения торгов по продаже имущества гражданина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  <w:t xml:space="preserve">Корноух Людмилы Ивановны</w:t>
      </w:r>
      <w:r/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 (далее - «Должник»).</w:t>
      </w:r>
      <w:r/>
    </w:p>
    <w:p>
      <w:pPr>
        <w:contextualSpacing/>
        <w:ind w:left="384"/>
        <w:jc w:val="both"/>
        <w:spacing w:line="24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contextualSpacing/>
        <w:ind w:left="384"/>
        <w:jc w:val="both"/>
        <w:spacing w:line="24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>
        <w:trPr/>
        <w:tc>
          <w:tcPr>
            <w:tcW w:w="2500" w:type="pct"/>
            <w:textDirection w:val="lrTb"/>
            <w:noWrap w:val="false"/>
          </w:tcPr>
          <w:p>
            <w:pPr>
              <w:contextualSpacing/>
              <w:jc w:val="both"/>
              <w:spacing w:line="240" w:lineRule="atLeast"/>
              <w:rPr>
                <w:rFonts w:ascii="Times New Roman" w:hAnsi="Times New Roman" w:cs="Times New Roman" w:eastAsia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Ф.И.О Арбитражного управляющего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/>
          </w:p>
        </w:tc>
        <w:tc>
          <w:tcPr>
            <w:tcW w:w="2500" w:type="pct"/>
            <w:textDirection w:val="lrTb"/>
            <w:noWrap w:val="false"/>
          </w:tcPr>
          <w:p>
            <w:pPr>
              <w:contextualSpacing/>
              <w:jc w:val="both"/>
              <w:spacing w:line="240" w:lineRule="atLeast"/>
              <w:rPr>
                <w:rFonts w:ascii="Times New Roman" w:hAnsi="Times New Roman" w:cs="Times New Roman" w:eastAsia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Жуков Михаил Николаевич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/>
          </w:p>
        </w:tc>
      </w:tr>
      <w:tr>
        <w:trPr/>
        <w:tc>
          <w:tcPr>
            <w:tcW w:w="2500" w:type="pct"/>
            <w:textDirection w:val="lrTb"/>
            <w:noWrap w:val="false"/>
          </w:tcPr>
          <w:p>
            <w:pPr>
              <w:contextualSpacing/>
              <w:jc w:val="both"/>
              <w:spacing w:line="240" w:lineRule="atLeast"/>
              <w:rPr>
                <w:rFonts w:ascii="Times New Roman" w:hAnsi="Times New Roman" w:cs="Times New Roman" w:eastAsia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ИНН Должника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/>
          </w:p>
        </w:tc>
        <w:tc>
          <w:tcPr>
            <w:tcW w:w="2500" w:type="pct"/>
            <w:textDirection w:val="lrTb"/>
            <w:noWrap w:val="false"/>
          </w:tcPr>
          <w:p>
            <w:pPr>
              <w:contextualSpacing/>
              <w:jc w:val="both"/>
              <w:spacing w:line="240" w:lineRule="atLeast"/>
              <w:rPr>
                <w:rFonts w:ascii="Times New Roman" w:hAnsi="Times New Roman" w:cs="Times New Roman" w:eastAsia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330402117648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/>
          </w:p>
        </w:tc>
      </w:tr>
      <w:tr>
        <w:trPr/>
        <w:tc>
          <w:tcPr>
            <w:tcW w:w="2500" w:type="pct"/>
            <w:textDirection w:val="lrTb"/>
            <w:noWrap w:val="false"/>
          </w:tcPr>
          <w:p>
            <w:pPr>
              <w:contextualSpacing/>
              <w:jc w:val="both"/>
              <w:spacing w:line="240" w:lineRule="atLeast"/>
              <w:rPr>
                <w:rFonts w:ascii="Times New Roman" w:hAnsi="Times New Roman" w:cs="Times New Roman" w:eastAsia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СНИЛС Должника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/>
          </w:p>
        </w:tc>
        <w:tc>
          <w:tcPr>
            <w:tcW w:w="2500" w:type="pct"/>
            <w:textDirection w:val="lrTb"/>
            <w:noWrap w:val="false"/>
          </w:tcPr>
          <w:p>
            <w:pPr>
              <w:contextualSpacing/>
              <w:jc w:val="both"/>
              <w:spacing w:line="240" w:lineRule="atLeast"/>
              <w:rPr>
                <w:rFonts w:ascii="Times New Roman" w:hAnsi="Times New Roman" w:cs="Times New Roman" w:eastAsia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018- 709-558-74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/>
          </w:p>
        </w:tc>
      </w:tr>
      <w:tr>
        <w:trPr/>
        <w:tc>
          <w:tcPr>
            <w:tcW w:w="2500" w:type="pct"/>
            <w:textDirection w:val="lrTb"/>
            <w:noWrap w:val="false"/>
          </w:tcPr>
          <w:p>
            <w:pPr>
              <w:contextualSpacing/>
              <w:jc w:val="both"/>
              <w:spacing w:line="240" w:lineRule="atLeast"/>
              <w:rPr>
                <w:rFonts w:ascii="Times New Roman" w:hAnsi="Times New Roman" w:cs="Times New Roman" w:eastAsia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Категория должника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/>
          </w:p>
        </w:tc>
        <w:tc>
          <w:tcPr>
            <w:tcW w:w="2500" w:type="pct"/>
            <w:textDirection w:val="lrTb"/>
            <w:noWrap w:val="false"/>
          </w:tcPr>
          <w:p>
            <w:pPr>
              <w:contextualSpacing/>
              <w:jc w:val="both"/>
              <w:spacing w:line="240" w:lineRule="atLeast"/>
              <w:rPr>
                <w:rFonts w:ascii="Times New Roman" w:hAnsi="Times New Roman" w:cs="Times New Roman" w:eastAsia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Физическое лицо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/>
          </w:p>
        </w:tc>
      </w:tr>
      <w:tr>
        <w:trPr/>
        <w:tc>
          <w:tcPr>
            <w:tcW w:w="2500" w:type="pct"/>
            <w:textDirection w:val="lrTb"/>
            <w:noWrap w:val="false"/>
          </w:tcPr>
          <w:p>
            <w:pPr>
              <w:contextualSpacing/>
              <w:jc w:val="both"/>
              <w:spacing w:line="240" w:lineRule="atLeast"/>
              <w:rPr>
                <w:rFonts w:ascii="Times New Roman" w:hAnsi="Times New Roman" w:cs="Times New Roman" w:eastAsia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Адрес Должника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/>
          </w:p>
        </w:tc>
        <w:tc>
          <w:tcPr>
            <w:tcW w:w="2500" w:type="pct"/>
            <w:textDirection w:val="lrTb"/>
            <w:noWrap w:val="false"/>
          </w:tcPr>
          <w:p>
            <w:pPr>
              <w:contextualSpacing/>
              <w:spacing w:line="160" w:lineRule="atLeast"/>
              <w:rPr>
                <w:rFonts w:ascii="Times New Roman" w:hAnsi="Times New Roman" w:cs="Times New Roman" w:eastAsia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601500, Владимирская обл., г. Гусь-Хрустальный, ул. Интернациональная, д. 46, кв. 44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/>
          </w:p>
        </w:tc>
      </w:tr>
      <w:tr>
        <w:trPr/>
        <w:tc>
          <w:tcPr>
            <w:tcW w:w="2500" w:type="pct"/>
            <w:textDirection w:val="lrTb"/>
            <w:noWrap w:val="false"/>
          </w:tcPr>
          <w:p>
            <w:pPr>
              <w:contextualSpacing/>
              <w:jc w:val="both"/>
              <w:spacing w:line="240" w:lineRule="atLeast"/>
              <w:rPr>
                <w:rFonts w:ascii="Times New Roman" w:hAnsi="Times New Roman" w:cs="Times New Roman" w:eastAsia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Наименование арбитражного суда, в производстве которого находится дело о банкротстве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/>
          </w:p>
        </w:tc>
        <w:tc>
          <w:tcPr>
            <w:tcW w:w="2500" w:type="pct"/>
            <w:textDirection w:val="lrTb"/>
            <w:noWrap w:val="false"/>
          </w:tcPr>
          <w:p>
            <w:pPr>
              <w:contextualSpacing/>
              <w:jc w:val="both"/>
              <w:spacing w:line="240" w:lineRule="atLeast"/>
              <w:rPr>
                <w:rFonts w:ascii="Times New Roman" w:hAnsi="Times New Roman" w:cs="Times New Roman" w:eastAsia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/>
          </w:p>
          <w:p>
            <w:pPr>
              <w:contextualSpacing/>
              <w:jc w:val="both"/>
              <w:spacing w:line="240" w:lineRule="atLeast"/>
              <w:rPr>
                <w:rFonts w:ascii="Times New Roman" w:hAnsi="Times New Roman" w:cs="Times New Roman" w:eastAsia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Арбитражный суд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Владимирской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области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/>
          </w:p>
        </w:tc>
      </w:tr>
      <w:tr>
        <w:trPr/>
        <w:tc>
          <w:tcPr>
            <w:tcW w:w="2500" w:type="pct"/>
            <w:textDirection w:val="lrTb"/>
            <w:noWrap w:val="false"/>
          </w:tcPr>
          <w:p>
            <w:pPr>
              <w:contextualSpacing/>
              <w:jc w:val="both"/>
              <w:spacing w:line="240" w:lineRule="atLeast"/>
              <w:rPr>
                <w:rFonts w:ascii="Times New Roman" w:hAnsi="Times New Roman" w:cs="Times New Roman" w:eastAsia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Номер дела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/>
          </w:p>
        </w:tc>
        <w:tc>
          <w:tcPr>
            <w:tcW w:w="2500" w:type="pct"/>
            <w:textDirection w:val="lrTb"/>
            <w:noWrap w:val="false"/>
          </w:tcPr>
          <w:p>
            <w:pPr>
              <w:contextualSpacing/>
              <w:jc w:val="both"/>
              <w:spacing w:line="240" w:lineRule="atLeast"/>
              <w:rPr>
                <w:rFonts w:ascii="Times New Roman" w:hAnsi="Times New Roman" w:cs="Times New Roman" w:eastAsia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А11-3012/2022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/>
          </w:p>
        </w:tc>
      </w:tr>
      <w:tr>
        <w:trPr/>
        <w:tc>
          <w:tcPr>
            <w:tcW w:w="2500" w:type="pct"/>
            <w:textDirection w:val="lrTb"/>
            <w:noWrap w:val="false"/>
          </w:tcPr>
          <w:p>
            <w:pPr>
              <w:contextualSpacing/>
              <w:jc w:val="both"/>
              <w:spacing w:line="240" w:lineRule="atLeast"/>
              <w:rPr>
                <w:rFonts w:ascii="Times New Roman" w:hAnsi="Times New Roman" w:cs="Times New Roman" w:eastAsia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Дата принятия судебного акта о введении процедуры банкротства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/>
          </w:p>
        </w:tc>
        <w:tc>
          <w:tcPr>
            <w:tcW w:w="2500" w:type="pct"/>
            <w:textDirection w:val="lrTb"/>
            <w:noWrap w:val="false"/>
          </w:tcPr>
          <w:p>
            <w:pPr>
              <w:contextualSpacing/>
              <w:jc w:val="both"/>
              <w:spacing w:line="240" w:lineRule="atLeast"/>
              <w:rPr>
                <w:rFonts w:ascii="Times New Roman" w:hAnsi="Times New Roman" w:cs="Times New Roman" w:eastAsia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1 июля 2022 года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/>
          </w:p>
        </w:tc>
      </w:tr>
      <w:tr>
        <w:trPr/>
        <w:tc>
          <w:tcPr>
            <w:tcW w:w="2500" w:type="pct"/>
            <w:textDirection w:val="lrTb"/>
            <w:noWrap w:val="false"/>
          </w:tcPr>
          <w:p>
            <w:pPr>
              <w:contextualSpacing/>
              <w:jc w:val="both"/>
              <w:spacing w:line="240" w:lineRule="atLeast"/>
              <w:rPr>
                <w:rFonts w:ascii="Times New Roman" w:hAnsi="Times New Roman" w:cs="Times New Roman" w:eastAsia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Дата назначения арбитражного управляющего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/>
          </w:p>
        </w:tc>
        <w:tc>
          <w:tcPr>
            <w:tcW w:w="2500" w:type="pct"/>
            <w:textDirection w:val="lrTb"/>
            <w:noWrap w:val="false"/>
          </w:tcPr>
          <w:p>
            <w:pPr>
              <w:contextualSpacing/>
              <w:jc w:val="both"/>
              <w:spacing w:line="240" w:lineRule="atLeast"/>
              <w:rPr>
                <w:rFonts w:ascii="Times New Roman" w:hAnsi="Times New Roman" w:cs="Times New Roman" w:eastAsia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1 июля 2022 года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/>
          </w:p>
        </w:tc>
      </w:tr>
    </w:tbl>
    <w:p>
      <w:pPr>
        <w:contextualSpacing/>
        <w:jc w:val="both"/>
        <w:spacing w:line="24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1.2. Настоящее Положение разработано в соотве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тствие с нормами Гражданского кодекса Российской Федерации, Федерального закона от 26.10.2002 № 127-ФЗ «О несостоятельности (банкротстве)» (далее – Закон о банкротстве), приказом Министерства экономического развития Российской Федерации от 23 июля 2015 № 4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инэкономразвития России от 5 апреля 2013 года N 178 и признании утратившими силу некоторых приказов Минэкономразвития России», (далее – Приказ № 495) в целях организации и проведения продажи имущества Должника, в соответствии с гражданским законодательство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м Российской Федерации и с учетом требований действующего законодательства Российской Федерации о несостоятельности (банкротстве). Во всем остальном, что не урегулировано настоящим Положением, Арбитражный управляющий руководствуется Законом о банкротстве.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1.3. Проводимые в соответствии с настоящим Положением торги (далее – торги) являются открытыми по составу участников и форме представления предложений о цене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имущества. Предложения о цене имущества заявляются участниками торгов открыто в ходе проведения торгов.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1.4. Арбитражный управляющий использует основной расчётный счёт должника для поступления денежных средств от реализации предмета торгов.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center"/>
        <w:spacing w:line="240" w:lineRule="atLeast"/>
        <w:rPr>
          <w:rFonts w:ascii="Times New Roman" w:hAnsi="Times New Roman" w:cs="Times New Roman" w:eastAsia="Times New Roman"/>
          <w:b/>
          <w:bCs/>
          <w:sz w:val="22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2"/>
          <w:szCs w:val="24"/>
        </w:rPr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center"/>
        <w:spacing w:line="240" w:lineRule="atLeast"/>
        <w:rPr>
          <w:rFonts w:ascii="Times New Roman" w:hAnsi="Times New Roman" w:cs="Times New Roman" w:eastAsia="Times New Roman"/>
          <w:b/>
          <w:bCs/>
          <w:sz w:val="22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2"/>
          <w:szCs w:val="24"/>
        </w:rPr>
        <w:t xml:space="preserve">2. Термины и определения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b/>
          <w:bCs/>
          <w:sz w:val="22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2"/>
          <w:szCs w:val="24"/>
        </w:rPr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b/>
          <w:bCs/>
          <w:sz w:val="22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2"/>
          <w:szCs w:val="24"/>
        </w:rPr>
        <w:t xml:space="preserve">Должник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- лицо, в отношении которого арбитражным судом введена процедура банкротства, собственник (владелец) имущества, выставленного на торги.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2"/>
          <w:szCs w:val="24"/>
        </w:rPr>
        <w:t xml:space="preserve">Задаток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- сумма денежных средств, перечисляемая заявителе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м организатору торгов в счет причитающихся в будущем возможных платежей Должнику, в случае если заявитель будет допущен к участию в торгах и признан лицом, выигравшим торги, в доказательство заключения договора купли-продажи и в обеспечение его исполнения.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b/>
          <w:bCs/>
          <w:sz w:val="22"/>
          <w:szCs w:val="24"/>
        </w:rPr>
        <w:t xml:space="preserve">Имущество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- имущество Должника, указанное в Приложении и реализуемое в соответствии с настоящим Положением и Законом о банкротстве.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2"/>
          <w:szCs w:val="24"/>
        </w:rPr>
        <w:t xml:space="preserve">Заявитель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- намеревающееся стать участником торгов лицо, представившее для регистрации Оператору электронной площадки заявку на участие в торгах с приложением необходимых документов и перечислившее задаток в порядке и размерах, предусмотренных настоящим Положением.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2"/>
          <w:szCs w:val="24"/>
        </w:rPr>
        <w:t xml:space="preserve">Лот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– Имущество, выставляемое на торги как самостоятельный предмет продажи, и в отношении которого заключается отдельный договор купли – продажи по итогам проведения торгов.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b/>
          <w:bCs/>
          <w:sz w:val="22"/>
          <w:szCs w:val="24"/>
        </w:rPr>
        <w:t xml:space="preserve">Место проведения торгов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– электронная площадка.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b/>
          <w:bCs/>
          <w:sz w:val="22"/>
          <w:szCs w:val="24"/>
        </w:rPr>
        <w:t xml:space="preserve">Оператор электронной площадки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– юридическое лицо независимо от его организационно-правовой формы, формы собственности, места нахо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ждения и места происхождения капитала или физическое лицо в качестве индивидуального предпринимателя, государственная регистрация которых осуществлена в установленном порядке на территории Российской Федерации, которые проводят торги в электронной форме в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соответствии с настоящим Федеральным законом и являются членами саморегулируемой организации операторов электронных площадок, действующее на основании заключенного с Организатором торгов договора на проведение открытых торгов по продаже Имущества Должника.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b/>
          <w:bCs/>
          <w:sz w:val="22"/>
          <w:szCs w:val="24"/>
        </w:rPr>
        <w:t xml:space="preserve">Организатор торгов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– Арбитражный управляющий Должника.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b/>
          <w:bCs/>
          <w:sz w:val="22"/>
          <w:szCs w:val="24"/>
        </w:rPr>
        <w:t xml:space="preserve">Победитель торгов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– участник, предложивший наиболее высокую цену за продаваемое Имущество.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2"/>
          <w:szCs w:val="24"/>
        </w:rPr>
        <w:t xml:space="preserve">Покупатель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- лицо, с которым заключен договор купли – продажи по результатам торгов, или лицо, с которым заключен договор купли – продажи в случае не заключения договора купли-продажи с победителем торгов;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2"/>
          <w:szCs w:val="24"/>
        </w:rPr>
        <w:t xml:space="preserve">Торги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– способ продажи Имущества, основанный на принципе состязательности. Торги проводятся в электронной форме.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2"/>
          <w:szCs w:val="24"/>
        </w:rPr>
        <w:t xml:space="preserve">Участник торгов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- лицо, согласное приобрести Имущество, указанн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ое в сообщении о проведении торгов, на условиях, указанных в сообщении, допущенное Организатором торгов на основании поданной заявки и приложенных к ней документов к участию в торгах и имеющее право предлагать свою цену за выставленное на торги Имущество.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2"/>
          <w:szCs w:val="24"/>
        </w:rPr>
        <w:t xml:space="preserve">Шаг аукциона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– эквивалент процентов, выраженный в денежной сумме от цены предмета торгов, установленный организатором торгов, на который участник торгов (аукциона) имеет право повышать единовременно прилагаемую цену за предмет торгов.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2"/>
          <w:szCs w:val="24"/>
        </w:rPr>
        <w:t xml:space="preserve">Электронная площадка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– сайт в сети Интернет, на котором п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роводятся торги в электронной форме в соответствии с Законом о банкротстве. Любые термины и определения, значение которых специально не оговорено в разделе 2 настоящего Положения, подлежат толкованию в соответствии с законодательством Российской Федерации.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b/>
          <w:bCs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                                                </w:t>
      </w:r>
      <w:r>
        <w:rPr>
          <w:rFonts w:ascii="Times New Roman" w:hAnsi="Times New Roman" w:cs="Times New Roman" w:eastAsia="Times New Roman"/>
          <w:b/>
          <w:bCs/>
          <w:sz w:val="22"/>
          <w:szCs w:val="24"/>
        </w:rPr>
        <w:t xml:space="preserve">3. Организация проведения торгов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3.1. Торги проводятся на Электронной торговой площадке, аккредитованной при Ассоциации «СГАУ»- </w:t>
      </w:r>
      <w:r>
        <w:rPr>
          <w:rFonts w:ascii="Times New Roman" w:hAnsi="Times New Roman" w:cs="Times New Roman" w:eastAsia="Times New Roman"/>
          <w:color w:val="000000"/>
          <w:sz w:val="22"/>
          <w:szCs w:val="24"/>
        </w:rPr>
        <w:t xml:space="preserve">на электронной площадке ЗАО «</w:t>
      </w:r>
      <w:r>
        <w:rPr>
          <w:rFonts w:ascii="Times New Roman" w:hAnsi="Times New Roman" w:cs="Times New Roman" w:eastAsia="Times New Roman"/>
          <w:color w:val="000000"/>
          <w:sz w:val="22"/>
          <w:szCs w:val="24"/>
        </w:rPr>
        <w:t xml:space="preserve">Руссиа</w:t>
      </w:r>
      <w:r>
        <w:rPr>
          <w:rFonts w:ascii="Times New Roman" w:hAnsi="Times New Roman" w:cs="Times New Roman" w:eastAsia="Times New Roman"/>
          <w:color w:val="000000"/>
          <w:sz w:val="22"/>
          <w:szCs w:val="24"/>
        </w:rPr>
        <w:t xml:space="preserve"> онлайн», сайт - http://www.rus-on.ru/.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3.2. Состав, основные характеристики, начальная цена имущества должника, реализуемого в соответствии с настоящим Положением, определены в Приложении №1, которые являются неотъемлемой частью настоящего Положения.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3.3. Имущество реализуется отдельными лотами.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3.4. Начальная цена продажи выставляемого на торги имущества должника определена на основании: п.2 статьи 213.26 ФЗ «О несостоятельности (банкротстве)».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3.5. Организацию и проведение торгов осуществляет </w:t>
      </w:r>
      <w:r>
        <w:rPr>
          <w:rFonts w:ascii="Times New Roman" w:hAnsi="Times New Roman" w:cs="Times New Roman" w:eastAsia="Times New Roman"/>
          <w:b/>
          <w:bCs/>
          <w:sz w:val="22"/>
          <w:szCs w:val="24"/>
        </w:rPr>
        <w:t xml:space="preserve">Арбитражный управляющий.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3.6. Организатор торгов при подготовке и проведении торгов выполняет следующие функции: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3.6.1. Заключает договор с оператором электронной площадки на проведение торгов.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3.6.2. Представляет оператору электронной площадки заявку на проведение торгов в форме электронного документа с приложением, в том числе, договора о задатке, проекта договора купли-продажи Имущества и иных документов, установленных Приказом № 495.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3.6.3. Направляет для опубликования информационное сообщение о продаже Имущества в Едином федеральном реестре сведений о банкротстве (</w:t>
      </w:r>
      <w:hyperlink r:id="rId10" w:tooltip="http://www/fedresurs.ru/" w:history="1">
        <w:r>
          <w:rPr>
            <w:rStyle w:val="832"/>
            <w:rFonts w:ascii="Times New Roman" w:hAnsi="Times New Roman" w:cs="Times New Roman" w:eastAsia="Times New Roman"/>
            <w:sz w:val="22"/>
            <w:szCs w:val="24"/>
          </w:rPr>
          <w:t xml:space="preserve">http://www/fedresurs.ru/</w:t>
        </w:r>
      </w:hyperlink>
      <w:r>
        <w:rPr>
          <w:rFonts w:ascii="Times New Roman" w:hAnsi="Times New Roman" w:cs="Times New Roman" w:eastAsia="Times New Roman"/>
          <w:sz w:val="22"/>
          <w:szCs w:val="24"/>
        </w:rPr>
        <w:t xml:space="preserve">).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В сообщении о продаже Имущества должны содержаться: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b/>
          <w:bCs/>
          <w:sz w:val="22"/>
          <w:szCs w:val="24"/>
        </w:rPr>
        <w:t xml:space="preserve">сведения об Имуществе, его характеристиках, порядок ознакомления с Имуществом;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сведения о проведении торгов в форме аукциона с открытой формой представления предложений о цене Имущества;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порядок, место, срок и время представления заявок на участие в торгах и предложений о цене Имущества (даты и время начала представления указанных заявок и предложений);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порядок оформления участия в торгах, перечень представляемых участниками торгов документов и требования к их оформлению;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размер задатка, сроки и порядок внесения задатка, реквизиты счетов, на которые вносится задаток;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начальная цена продажи Имущества;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шаг аукциона;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порядок и критерии выявления победителя торгов;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дата, время и место подведения результатов торгов;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порядок и срок заключения договора купли-продажи Имущества;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сроки платежей, реквизиты счетов, на которые вносятся платежи;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сведения об организаторе торгов, его почтовый адрес, адрес электронной почты, номер контактного телефона.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3.6.4. Назначает дату и время проведения торгов.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Организатор торгов обязан опубликовать сообщение о продаже Имущества не позднее, чем за тридцать дней до даты проведения торгов.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Организатор торгов обязан осуществлять разумные необходимые действия для поиска и привлечения покупателей с учетом особенностей выставленного на торги имущества должника.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Организатор торгов </w:t>
      </w:r>
      <w:r>
        <w:rPr>
          <w:rFonts w:ascii="Times New Roman" w:hAnsi="Times New Roman" w:cs="Times New Roman" w:eastAsia="Times New Roman"/>
          <w:b/>
          <w:bCs/>
          <w:sz w:val="22"/>
          <w:szCs w:val="24"/>
        </w:rPr>
        <w:t xml:space="preserve">обязан обеспечить возможность ознакомления с подлежащим продаже на торгах имуществом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должника и имеющимися в отношении этого имущества правоустанавливающими документами, в том числе путем осмотра, фотографирования указанного имущества и копирования указанных правоустанавливающих документов.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3.6.5. Определяет даты начала и окончания приема заявок, срок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подведения итогов торгов. 3.6.6. Определяет участников торгов, проверяет правильность оформления представленных заявителями документов и определяет их соответствие требованиям законодательства Российской Федерации. Принимает решение о признании заявителей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участниками торгов или об отказе в допуске к участию в торгах и уведомляет заявителей о принятом решении.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3.6.7. Определяет победителя торгов и подписывает протокол о результатах проведения торгов. 3.6.8. Уведомляет участников торгов о результатах проведения торгов.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3.6.9. Ор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ганизатор торгов обязан обеспечить равный доступ всех лиц к участию в торгах, в том числе к информации о проведении торгов, и обеспечить право лиц на участие в торгах без взимания с них платы, не предусмотренной Законом о банкротстве и настоящим Порядком.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3.6.10. Для проведения торгов организатор торгов обязан использовать информационные системы, обеспечивающие: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свободный и бесплатный доступ к информации о проведении торгов, правилах работы с использованием такой системы;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право участия в торгах без взимания платы;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возможность представления заявки на участие в торгах и прилагаемых к ней документов, их копий в форме электронных документов;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х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ранение и обработку в электронной форме заявок на участие в торгах и иных документов, представляемых заявителями, с использованием сертифицированных в установленном законодательством Российской Федерации порядке средств криптографической защиты информации;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защиту информации (заявок на участие в торгах и иных документов), представляемой заявителями, в том числе сохранность этой информации, предупреждение уничтожения информации, ее несанкционированного изменения и копирования;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создание, обработку, хранение и представление в электронной форме информации и документов, в том числе протоколов комиссии о результатах проведения торгов;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бесперебойное функционирование таких систем и доступ к ним пользователей, в том числе заявителей, в течение всего срока проведения торгов.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3.6.11. Осуществляет иные функции, установленные Законом о банкротстве, Приказом № 495 и иными нормативными актами.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3.7. Для участия в торгах заявитель должен внести задаток в размере </w:t>
      </w:r>
      <w:r>
        <w:rPr>
          <w:rFonts w:ascii="Times New Roman" w:hAnsi="Times New Roman" w:cs="Times New Roman" w:eastAsia="Times New Roman"/>
          <w:b/>
          <w:bCs/>
          <w:sz w:val="22"/>
          <w:szCs w:val="24"/>
        </w:rPr>
        <w:t xml:space="preserve">10 процентов от начальной цены продажи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Имущества в счет обеспечения оплаты Имущества Должника на счет, определенный Организатором т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оргов и указанный в информационном сообщении. Задаток должен быть внесен заявителем в срок, не позднее даты и времени окончания приема заявок на участие в торгах для соответствующего периода проведения торгов на счет, указанный в информационном сообщении.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3.8. Шаг аукциона устанавливается в размере 5 процентов от начальной цены продажи Имущества Должника.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b/>
          <w:bCs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                                      </w:t>
      </w:r>
      <w:r>
        <w:rPr>
          <w:rFonts w:ascii="Times New Roman" w:hAnsi="Times New Roman" w:cs="Times New Roman" w:eastAsia="Times New Roman"/>
          <w:b/>
          <w:bCs/>
          <w:sz w:val="22"/>
          <w:szCs w:val="24"/>
        </w:rPr>
        <w:t xml:space="preserve">4. Представление заявок на участие в торгах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4.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1. Для участия в открытых торгах претенденты (потенциальные покупатели) должны пройти регистрацию на электронной площадке и подать заявку на участие в торгах, а также оплатить задаток. Регистрация на электронной площадке осуществляется без взимания платы.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4.2. Для участия в открытых торгах заявитель представляет оператору электронной площадки заявку на участие в открытых торгах в форме электронного документа, подписанного электронной цифровой подписью заявителя.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4.3. Заявка на участие в торгах должна соответствовать требованиям, установленным Законом о банкротстве, Приказом №495, настоящим Положением, а также требованиям, указанным в сообщении о проведении торгов.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4.4. 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сведения: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наименование, организационно-правовая форма, место нахождения, почтовый адрес заявителя (для юридического лица);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фамилия, имя, отчество, паспортные данные, сведения о месте жительства заявителя (для физического лица);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номер контактного телефона, адрес электронной почты заявителя;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заинтересованности;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заявка на участие в торгах должна быть подписана электронной подписью заявителя.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4.5. К заявке на участие в торгах (кроме случаев проведения торгов в электронной форме) должны прилагаться копии следующих документов: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выписка из единого государственного реестра юридических лиц (для юридического лица);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выписка из единого государственного реестра индивидуальных предпринимателей (для индивидуального предпринимателя);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документы, удостоверяющие личность (для физического лица);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надлежащим образом заверенный перевод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документ, подтверждающий полномочия лица на осуществление действий от имени заявителя.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4.6. Документы, прилагаемые к заявке, представляются в форме электронных документов, подписанных электронной цифровой подписью заявителя.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4.7. Не допускается требовать от заявителя иные документы и сведения, за исключением документов и сведений, предусмотренных статьей 110 Закона о банкротстве.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4.8. Заявитель вправе отозвать заявку на участие в открытых торгах не позднее окончания срока представления заявок на участие в открытых торгах, направив об этом уведомление оператору электронной площадки.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4.9. После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4.10. Оператор электронной площадки направляет заявителю в электронной форме подтверждение о регистрации представленной заявки на участие в торгах в день регистрации такой заявки с указанием порядкового номера, даты и точного времени ее представления.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4.11. Направление Заявителем задатка на счета, указанные в сообщении о проведении торгов, считается акцептом размещенного на электронной площадке договора о задатке.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4.12. Срок представления заявок на участие в торгах должен составля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ть не менее 25 рабочих дней со дня опубликования и размещения сообщения о проведении торгов. Указанный в настоящем пункте срок исчисляется с даты публикации информационного сообщения о продаже Имущества в Едином федеральном реестре сведений о банкротстве (</w:t>
      </w:r>
      <w:hyperlink r:id="rId11" w:tooltip="http://www/fedresurs.ru/" w:history="1">
        <w:r>
          <w:rPr>
            <w:rStyle w:val="832"/>
            <w:rFonts w:ascii="Times New Roman" w:hAnsi="Times New Roman" w:cs="Times New Roman" w:eastAsia="Times New Roman"/>
            <w:sz w:val="22"/>
            <w:szCs w:val="24"/>
          </w:rPr>
          <w:t xml:space="preserve">http://www/fedresurs.ru/</w:t>
        </w:r>
      </w:hyperlink>
      <w:r>
        <w:rPr>
          <w:rFonts w:ascii="Times New Roman" w:hAnsi="Times New Roman" w:cs="Times New Roman" w:eastAsia="Times New Roman"/>
          <w:sz w:val="22"/>
          <w:szCs w:val="24"/>
        </w:rPr>
        <w:t xml:space="preserve">).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4.13. Заявки, поступившие по истечении срока их приема, указанного в информационном сообщении о проведении торгов, не рассматриваются.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b/>
          <w:bCs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                                            </w:t>
      </w:r>
      <w:r>
        <w:rPr>
          <w:rFonts w:ascii="Times New Roman" w:hAnsi="Times New Roman" w:cs="Times New Roman" w:eastAsia="Times New Roman"/>
          <w:b/>
          <w:bCs/>
          <w:sz w:val="22"/>
          <w:szCs w:val="24"/>
        </w:rPr>
        <w:t xml:space="preserve">5. Определение участников торгов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5.1. По окончании срока приема заявок организатор торгов рассматривает поступившие заявки, устанавливает факт поступления от заявителей задатков на основании выписок с соответствующего банковского счета, определяет состав участников торгов.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5.2. По результатам рассмотрения заявок организатор торгов принимает решение о допуске заявителей к участию в торгах. Решение организатора торгов о допуске заявителей к участию в торгах оформляется протоколом об определении участников торгов.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5.3. Заявитель приобретает статус участника торгов с момента оформления организатором торгов протокола о признании заявителей участниками торгов.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5.4. В день подписания протокола об определении участников торгов организатор торгов направляет его оператору электронной площадки в форме электронного документа.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5.5. Решение об отказе в допуске заявителя к участию в торгах принимается в случаях: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если заявка не соответствует требованиям, установленным Законом о банкротстве и указанным в сообщении о проведении торгов;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представленные заявителем документы не соответствуют установленным к ним требованиям или недостоверны;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поступление задатка на счет, указанный в сообщении о проведении торгов, не подтверждено на дату составления протокола об определении участников торгов.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5.6. В протоколе об определении участников торгов указывается: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перечень заявителей, допущенных к участию в торгах;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перечень заявителей, которым было отказано в допуске к участию в торгах;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перечень заявителей, отозвавших заявки.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5.7. Протокол составляется не менее чем в двух экземплярах. Один экземпляр хранится у организатора торгов, второй - направляется организатором торгов оператору электронной площадки в форме электронного документа в день его подписания.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5.8. Организатор торгов уведомляет всех заявителей о результатах рассмотрения представленных заявок на участие в торгах и признан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ии или непризнании заявителей участниками торгов посредством направления заявителям в письменной форме и в форме электронного документа копий протокола об определении участников торгов в течение 5 (пяти) рабочих дней со дня подписания указанного протокола.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b/>
          <w:bCs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                               </w:t>
      </w:r>
      <w:r>
        <w:rPr>
          <w:rFonts w:ascii="Times New Roman" w:hAnsi="Times New Roman" w:cs="Times New Roman" w:eastAsia="Times New Roman"/>
          <w:b/>
          <w:bCs/>
          <w:sz w:val="22"/>
          <w:szCs w:val="24"/>
        </w:rPr>
        <w:t xml:space="preserve">6. Проведение торгов и выявление победителя торгов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6.1. Торги проводятся на электронной площадке в день и время, указанные в сообщении о проведении торгов.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b/>
          <w:bCs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6.2. Торги проводятся путем повышения начальной цены продажи на величину, кратную величине «шага аукциона». Шаг аукциона устанавливается в размере </w:t>
      </w:r>
      <w:r>
        <w:rPr>
          <w:rFonts w:ascii="Times New Roman" w:hAnsi="Times New Roman" w:cs="Times New Roman" w:eastAsia="Times New Roman"/>
          <w:b/>
          <w:bCs/>
          <w:sz w:val="22"/>
          <w:szCs w:val="24"/>
        </w:rPr>
        <w:t xml:space="preserve">5 процентов от начальной цены продажи Имущества Должника.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6.3. Оператор электронной площадки проводит торги в соответствии с Порядком проведения торгов в электронной форме по продаже имущества или предприятия должников в ходе процедур, применяемых в деле о банкротстве, являющимся Приложением 1 к Приказу №495.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6.4. Победителем открытых торгов признается участник торгов, предложивший наиболее высокую цену.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6.5.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торгов, в котором указываются: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наименование, ИНН, ОГРН и место нахождения (для юридического лица), фамилия, имя, отчество, паспортные данные и место жительства (для физического лица) каждого участника торгов;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результаты рассмотрения предложений о цене Имущества, представленных участниками торгов;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наименование, ИНН, ОГРН и место нахождения (для юридического лица), фамилия, имя, отчество, паспортные данные и место жительства (для физического лица) участника торгов, который сделал предпоследнее предложение о цене Имущества в ходе торгов;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наименование, ИНН, ОГРН и место нахождения (для юридического лица), фамилия, имя, отчество, паспортные данные и место жительства (для физического лица) победителя торгов;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обоснование принятого организатором торгов решения о признании участника торгов победителем.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6.6. 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электронного документа не позднее рабочего дня, следующего после дня подписания такого протокола, на адрес электронной почты, указанный в заявке на участие в торгах.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6.7. </w:t>
      </w:r>
      <w:r>
        <w:rPr>
          <w:rFonts w:ascii="Times New Roman" w:hAnsi="Times New Roman" w:cs="Times New Roman" w:eastAsia="Times New Roman"/>
          <w:b/>
          <w:bCs/>
          <w:sz w:val="22"/>
          <w:szCs w:val="24"/>
        </w:rPr>
        <w:t xml:space="preserve">Если к участию в торгах был допущен толь</w:t>
      </w:r>
      <w:r>
        <w:rPr>
          <w:rFonts w:ascii="Times New Roman" w:hAnsi="Times New Roman" w:cs="Times New Roman" w:eastAsia="Times New Roman"/>
          <w:b/>
          <w:bCs/>
          <w:sz w:val="22"/>
          <w:szCs w:val="24"/>
        </w:rPr>
        <w:t xml:space="preserve">ко один участник, предложение которого о цене Имущества не ниже начальной цены продажи Имущества, договор купли-продажи Имущества заключается Арбитражным управляющим с этим участником торгов в соответствии с представленным им предложением о цене Имущества.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6.8. В случае, если не бы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ли представлены заявки на участие в торгах или договор купли – продажи не был заключен с единственным участником торгов, организатор торгов принимает решение о проведении повторных торгов и об установлении начальной цены продажи нереализованного Имущества.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6.9. В течение 15 (пятнадцати)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направить для опубликования сообщение о результатах проведения торгов и дате назначения повторных тор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гов в Едином федеральном реестре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сведений о банкротстве, в которых было опубликовано сообщение о проведении торгов.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6.10. В случае если торги признаны состоявшимися, в этом информац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Арбитражному управляющему и о характере этой заинтересованности, с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ведения об участии в капитале победителя торгов Арбитражного управляющего, саморегулируемой организации арбитражных управляющих, членом или руководителем которой является Арбитражный управляющий, а также сведения о предложенной победителем цене Имущества.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b/>
          <w:bCs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             </w:t>
      </w:r>
      <w:r>
        <w:rPr>
          <w:rFonts w:ascii="Times New Roman" w:hAnsi="Times New Roman" w:cs="Times New Roman" w:eastAsia="Times New Roman"/>
          <w:b/>
          <w:bCs/>
          <w:sz w:val="22"/>
          <w:szCs w:val="24"/>
        </w:rPr>
        <w:t xml:space="preserve">7. Порядок подписания договора купли-продажи, оплаты, передачи имущества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7.1. Продажа Имущества оформляется договором купли-продажи Имущества, который заключает Арбитражный управляющий с победителем торгов.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7.2. В течение 5 (пяти) рабочих дней с даты подпис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ания протокола о результатах торгов Арбитражный управляющий направляет победителю торгов предложение заключить договор купли-продажи Имущества с приложением проекта договора в соответствии с представленным победителем торгов предложением о цене Имущества.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7.3. Обязательными условиями договора купли-продажи Имущества являются: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сведения об Имуществе, его составе, характеристиках, описание Имущества;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цена продажи Имущества;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указание на наличие/отсутствие каких-либо обременений в отношении Имущества;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порядок и срок передачи Имущества покупателю;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иные предусмотренные законодательством Российской Федерации условия.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7.4. Задаток, внесенный покупателем при подаче заявки на участие в торгах, засчитывается в счет исполнения обязательств по оплате общей цены Имущества.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7.5. Передача Имущества покупателю осуществляются только после полной оплаты покупателем цены Имущества.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7.6. Победитель торгов в течение 5 (пяти) рабочих дней с даты получения предложения Арбитражного управляющего о заключении договора купли-продажи обязан подписать договор купли-продажи Имущества.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7.7. В целях настоящ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его Порядка датой получения предложения о заключении договора купли-продажи победителем торгов считается срок не позднее 10 (десяти) рабочих дней с даты направления Арбитражным управляющим предложения о заключении договора купли-продажи победителю торгов.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7.8. В случае отказа или уклонения победителя торгов от подписания указанного договора, внесенный задаток ему не возвращается.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7.9. В этом случае Арбитражный управляющий обязан предложить заключить договор купли-продажи Имущества участнику торгов, которым предложена наиболее высокая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цена Имущества по сравнению с ценой, предложенной другими участниками торгов, за исключением победителя торгов.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7.10. При отказе этого участника от покупки Имущества или не поступлении ответа от него в течение 10 (десяти) рабочих дней с даты направления Арбитражным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управляющим предложения о заключении договора купли-продажи, Арбитражный управляющий в течение 2 (двух) рабочих дней обязан признать торги несостоявшимися и принять решение о проведении повторных торгов и об установлении начальной цены продажи Имущества.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7.11. Передача Имущества Арбитражным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7.12. Арбитражный управляющий обеспечивает передачу Имущества покупателю и совершает необходимые действия, связанные с переходом права собственности на него.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7.13. Покупатель обязан полностью оплатить приобретаемый Имущество в срок не позднее 30 (тридцати) дней с даты подписания договора купли - продажи.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7.14. Денежные средства, вырученные от реализации Имущества, направляются на удовлетворение требований кредиторов на основной счет Должника, отрытый Арбитражным управляющим в соответствии со ст.133 Закона о банкротстве.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b/>
          <w:bCs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                                                           </w:t>
      </w:r>
      <w:r>
        <w:rPr>
          <w:rFonts w:ascii="Times New Roman" w:hAnsi="Times New Roman" w:cs="Times New Roman" w:eastAsia="Times New Roman"/>
          <w:b/>
          <w:bCs/>
          <w:sz w:val="22"/>
          <w:szCs w:val="24"/>
        </w:rPr>
        <w:t xml:space="preserve">8. Повторные торги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8.1. В случае признания торгов несостоявшимися или не заключения договора купли – продажи с единственным участником торгов организатор торгов проводит повторные торги. Повторные торги проводятся в порядке, установленном в разделе 6 настоящего Порядка.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8.2. При проведении повторных торгов начальная цена продажи Имущества на повторных торгах устанавливается в размере на 10 (десять) процентов ниже начальной цены продажи Имущества на первоначальных торгах.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8.3. Размер задатка для участия в повторных торгах устанавливается в размере 5 процентов от начальной цены продажи Имущества на повторных торгах;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8.4. Шаг аукциона составляет 5 процентов от начальной цены продажи Имущества на повторных торгах.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b/>
          <w:bCs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                                  </w:t>
      </w:r>
      <w:r>
        <w:rPr>
          <w:rFonts w:ascii="Times New Roman" w:hAnsi="Times New Roman" w:cs="Times New Roman" w:eastAsia="Times New Roman"/>
          <w:b/>
          <w:bCs/>
          <w:sz w:val="22"/>
          <w:szCs w:val="24"/>
        </w:rPr>
        <w:t xml:space="preserve"> 9. Продажа посредством публичного предложения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9.1. В случае, если повторные торги по продаже имущества должника признаны несостоявшим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ися или договор купли-продажи не был заключен с их единственным участником, а также в случае не 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9.2. На торги посредством публичного предложения выставляется нереализованное имущество, указа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нное в Приложении №1 к настоящему Положению. В соответствии с ч.4 ст. 139 Закон о банкротстве начальная цена продажи имущества посредством публичного предложения устанавливается в размере начальной цены, указанной в сообщении о продаже на повторных торгах.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9.3. Срок, по истечении которого последовательно снижается начальная цена продажи, составляет 7 (семь) календарных дней. В дальнейшем снижение цены происходит каждые 7 (семь) календарных дней.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9.4. Величина снижения начальной цены продажи составляет 10 процентов от начальной цены продажи посредством публичного предложения.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9.5. Минимальная цена предложения (цена отсечения) составляет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50 000 руб.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9.6. Дата начала торгов должна быть установлена организатором торгов в срок не более 15 рабочих дней с даты опубликования сообщения о торгах.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9.7. Победителем торгов по продаже Имущества Должника посредством публичного предложения признается участник торгов, который представил в уста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 других участников торгов по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продаже Имущества Должника посредством публичного предложения. В случае, если несколько участников торгов представили в уста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торгов, является участник, предложивший максимал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ьную цену за Имущество Должника.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Заявка признается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победившей при условии ее соответствия требованиям, установленным Законом о банкротстве и настоящим Положением, и подтверждения поступления задатка от заявителя на счет, указанный в сообщении о проведении торгов. В случае несоответствия представленной зая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вки требованиям, установленным Федеральным законом «О несостоятельности (банкротстве)» и настоящим Положением, или не подтверждения поступления задатка от заявителя, организатор торгов принимает (утверждает) решение об отказе в признании заявителя участник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ом торгов с указанием основания, по которому заявитель не признается участником торгов. Указанное решение направляется организатором торгом оператору электронной площадки в этот же день (день рассмотрения заявки) для размещения на электронной площадке. В с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лучае принятия решения об отказе в признании заявителя, представившего более раннюю заявку, участником торгов, организатор торгов рассматривает следующую поступившую по времени заявку в аналогичном порядке и так до определения победителя торгов. Если кроме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одной заявки, заявитель которой не признан участником торгов, не подано ни одной другой заявки либо по всем поданным заявкам заявителям отказано в признании их участниками торгов, то торги посредством публичного предложения продолжаются в обычном порядке.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9.8. С даты определения победителя торгов прием заявок прекращается.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9.9. Организатор торгов определяет поб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едителя торгов, подписывает протокол о результатах проведения торгов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9.10. Протокол о результатах проведения торгов должен содержать: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результаты рассмотрения поступивших заявок на участие в торгах;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наименование и место нахождения (для юридического лица), фамилия, имя, отчество и место жительства (для физического лица) победителя торгов;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предложение о цене лота, представленное победителем торгов;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наименование и мес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то нахождения (для юридического лица), фамилия, имя, отчество и место жительства (для физического лица) участника торгов, подавшего заявку после победителя торгов; обоснование принятого организатором торгов решения о признании участника торгов победителем.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9.11. В течение 15 (пятнадцати) рабочих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Едином Федеральном реестре сведений о банкротстве (</w:t>
      </w:r>
      <w:hyperlink r:id="rId12" w:tooltip="http://www/fedresurs.ru/" w:history="1">
        <w:r>
          <w:rPr>
            <w:rStyle w:val="832"/>
            <w:rFonts w:ascii="Times New Roman" w:hAnsi="Times New Roman" w:cs="Times New Roman" w:eastAsia="Times New Roman"/>
            <w:sz w:val="22"/>
            <w:szCs w:val="24"/>
          </w:rPr>
          <w:t xml:space="preserve">http://www/fedresurs.ru/</w:t>
        </w:r>
      </w:hyperlink>
      <w:r>
        <w:rPr>
          <w:rFonts w:ascii="Times New Roman" w:hAnsi="Times New Roman" w:cs="Times New Roman" w:eastAsia="Times New Roman"/>
          <w:sz w:val="22"/>
          <w:szCs w:val="24"/>
        </w:rPr>
        <w:t xml:space="preserve">).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9.12. 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о отношению к Должнику, кредиторам, Арбитражному управляющему и о характере этой заинтересованности, сведения об участии в капитале победителя торгов Арбитражного управляющего, саморегулируемой организации арбитражных управляющих, членом или руководителем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которой является Арбитражный управляющий, а также сведения о предложенной победителем цене Имущества/лота.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Торги по продаже Имущества посредством публичного предложения прекращаются (прекращается прием заявок) только в случаях: - отсутствия заявок на участие в торгах посредством публичного предложения, вплоть до цены (включительно), соответствующей минимально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й цене, или - определения победителя торгов, т.е. утверждения организатором торгов протокола об определении заявителя, представившего победившую заявку, участником торгов и протокола об определении победителя торгов посредством публичного предложения и нап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равления этих документов оператору электронной площадки для размещения на электронной площадке. В остальных случаях торги посредством публичного предложения продолжаются в обычном порядке вплоть до последнего дня торгов посредством публичного предложения.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9.13. В течение 5 (пяти) рабочих дней с даты подпи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сания протокола о результатах торгов Арбитражный управляющий направляет победителю торгов предложение заключить договор купли-продажи имущества с приложением проекта договора в соответствии с представленным победителем торгов предложением о цене Имущества.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9.14. Продажа Имущества оформляется договором купли-продажи Имущества, который заключает Арбитражный управляющий с победителем торгов.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9.15. Обязательными условиями договора купли-продажи Имущества являются: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сведения об Имуществе, его составе, характеристиках, описание Имущества;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цена продажи Имущества;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порядок и срок передачи Имущества покупателю;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иные предусмотренные законодательством Российской Федерации условия.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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сведения о наличии 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или об отсутствии обременений в отношении Имущества. Договор купли-продажи Имущества должен содержать условие о передаче Имущества покупателю и государственной регистрации перехода права собственности только после полной оплаты покупателем цены Имущества.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9.16. Победитель торгов в течение 5 (пяти) рабочих дней с даты получения предложения Арбитражного управля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ющего о заключении договора купли-продажи обязан подписать договор купли-продажи Имущества. В случае отказа или уклонения победителя торгов от подписания указанного договора, внесенный задаток ему не возвращается. В случае если лицо, признанное победителем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торгов, проводимых посредством публичного предложения, отказалось от заключения договора купли-продажи Имущества Должника либо не оплатило Имущество после заключения договора купли-продажи, торги посредством публичного предложения могут проводиться вновь.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9.17. Сумма внесенного задатка победителю торгов не возвращается. Победитель торгов (или лицо, которому в случае отказа победителя от заключения договора будет направлено предло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жение о заключении договора купли-продажи Имущества/лота) обязан полностью оплатить приобретаемое Имущество/лот в срок не позднее 30 (Тридцати) дней с даты подписания договора, при этом в сумму оплаты засчитывается внесенный для участия в торгах задаток.»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ind w:firstLine="5812"/>
        <w:spacing w:line="240" w:lineRule="atLeast"/>
        <w:rPr>
          <w:rFonts w:ascii="Times New Roman" w:hAnsi="Times New Roman" w:cs="Times New Roman" w:eastAsia="Times New Roman"/>
          <w:sz w:val="22"/>
          <w:szCs w:val="20"/>
        </w:rPr>
      </w:pPr>
      <w:r>
        <w:rPr>
          <w:rFonts w:ascii="Times New Roman" w:hAnsi="Times New Roman" w:cs="Times New Roman" w:eastAsia="Times New Roman"/>
          <w:sz w:val="22"/>
          <w:szCs w:val="20"/>
        </w:rPr>
        <w:t xml:space="preserve">Приложение № 1 к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ind w:firstLine="5812"/>
        <w:spacing w:line="240" w:lineRule="atLeast"/>
        <w:rPr>
          <w:rFonts w:ascii="Times New Roman" w:hAnsi="Times New Roman" w:cs="Times New Roman" w:eastAsia="Times New Roman"/>
          <w:sz w:val="22"/>
          <w:szCs w:val="20"/>
        </w:rPr>
      </w:pPr>
      <w:r>
        <w:rPr>
          <w:rFonts w:ascii="Times New Roman" w:hAnsi="Times New Roman" w:cs="Times New Roman" w:eastAsia="Times New Roman"/>
          <w:sz w:val="22"/>
          <w:szCs w:val="20"/>
        </w:rPr>
        <w:t xml:space="preserve">Положению о начальной продажной                             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ind w:firstLine="5812"/>
        <w:spacing w:line="240" w:lineRule="atLeast"/>
        <w:rPr>
          <w:rFonts w:ascii="Times New Roman" w:hAnsi="Times New Roman" w:cs="Times New Roman" w:eastAsia="Times New Roman"/>
          <w:sz w:val="22"/>
          <w:szCs w:val="20"/>
        </w:rPr>
      </w:pPr>
      <w:r>
        <w:rPr>
          <w:rFonts w:ascii="Times New Roman" w:hAnsi="Times New Roman" w:cs="Times New Roman" w:eastAsia="Times New Roman"/>
          <w:sz w:val="22"/>
          <w:szCs w:val="20"/>
        </w:rPr>
        <w:t xml:space="preserve">цене, сроках, условиях продажи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ind w:firstLine="5812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0"/>
        </w:rPr>
        <w:t xml:space="preserve">недвижимого имущества </w:t>
      </w:r>
      <w:r>
        <w:rPr>
          <w:rFonts w:ascii="Times New Roman" w:hAnsi="Times New Roman" w:cs="Times New Roman" w:eastAsia="Times New Roman"/>
          <w:sz w:val="22"/>
          <w:szCs w:val="20"/>
        </w:rPr>
        <w:t xml:space="preserve">Андреева С.Л</w:t>
      </w:r>
      <w:r>
        <w:rPr>
          <w:rFonts w:ascii="Times New Roman" w:hAnsi="Times New Roman" w:cs="Times New Roman" w:eastAsia="Times New Roman"/>
          <w:sz w:val="22"/>
          <w:szCs w:val="20"/>
        </w:rPr>
        <w:t xml:space="preserve">.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   </w:t>
      </w:r>
      <w:r>
        <w:rPr>
          <w:rFonts w:ascii="Times New Roman" w:hAnsi="Times New Roman" w:cs="Times New Roman" w:eastAsia="Times New Roman"/>
          <w:sz w:val="22"/>
        </w:rPr>
      </w:r>
      <w:r/>
    </w:p>
    <w:tbl>
      <w:tblPr>
        <w:tblW w:w="883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68"/>
        <w:gridCol w:w="4121"/>
        <w:gridCol w:w="4043"/>
      </w:tblGrid>
      <w:tr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contextualSpacing/>
              <w:jc w:val="center"/>
              <w:spacing w:line="240" w:lineRule="atLeast"/>
              <w:rPr>
                <w:rFonts w:ascii="Times New Roman" w:hAnsi="Times New Roman" w:cs="Times New Roman" w:eastAsia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№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/>
          </w:p>
          <w:p>
            <w:pPr>
              <w:contextualSpacing/>
              <w:jc w:val="center"/>
              <w:spacing w:line="240" w:lineRule="atLeast"/>
              <w:rPr>
                <w:rFonts w:ascii="Times New Roman" w:hAnsi="Times New Roman" w:cs="Times New Roman" w:eastAsia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лота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21" w:type="dxa"/>
            <w:textDirection w:val="lrTb"/>
            <w:noWrap w:val="false"/>
          </w:tcPr>
          <w:p>
            <w:pPr>
              <w:contextualSpacing/>
              <w:jc w:val="center"/>
              <w:spacing w:line="240" w:lineRule="atLeast"/>
              <w:rPr>
                <w:rFonts w:ascii="Times New Roman" w:hAnsi="Times New Roman" w:cs="Times New Roman" w:eastAsia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43" w:type="dxa"/>
            <w:textDirection w:val="lrTb"/>
            <w:noWrap w:val="false"/>
          </w:tcPr>
          <w:p>
            <w:pPr>
              <w:contextualSpacing/>
              <w:jc w:val="center"/>
              <w:spacing w:line="240" w:lineRule="atLeast"/>
              <w:rPr>
                <w:rFonts w:ascii="Times New Roman" w:hAnsi="Times New Roman" w:cs="Times New Roman" w:eastAsia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Начальная продажная цена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/>
          </w:p>
          <w:p>
            <w:pPr>
              <w:contextualSpacing/>
              <w:jc w:val="center"/>
              <w:spacing w:line="240" w:lineRule="atLeast"/>
              <w:rPr>
                <w:rFonts w:ascii="Times New Roman" w:hAnsi="Times New Roman" w:cs="Times New Roman" w:eastAsia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в рублях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/>
          </w:p>
        </w:tc>
      </w:tr>
      <w:tr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line="240" w:lineRule="atLeast"/>
              <w:rPr>
                <w:rFonts w:ascii="Times New Roman" w:hAnsi="Times New Roman" w:cs="Times New Roman" w:eastAsia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1.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21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line="240" w:lineRule="atLeast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Квартира (1/6 доли)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0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8"/>
                <w:lang w:eastAsia="ru-RU"/>
              </w:rPr>
              <w:t xml:space="preserve">Владимирская область, г. Гусь-Хрустальный, ул. Чапаева, д. 10, кв. 24. (Основание приобретения: св-во о праве на наследство по закону от 25.02.2015 года)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4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line="240" w:lineRule="atLeast"/>
              <w:rPr>
                <w:rFonts w:ascii="Times New Roman" w:hAnsi="Times New Roman" w:cs="Times New Roman" w:eastAsia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291 674,17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/>
          </w:p>
        </w:tc>
      </w:tr>
    </w:tbl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b/>
          <w:bCs/>
          <w:sz w:val="22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2"/>
          <w:szCs w:val="24"/>
        </w:rPr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 w:cs="Times New Roman" w:eastAsia="Times New Roman"/>
          <w:sz w:val="22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 Финансовый управляющий</w:t>
      </w:r>
      <w:r>
        <w:rPr>
          <w:rFonts w:ascii="Times New Roman" w:hAnsi="Times New Roman" w:cs="Times New Roman" w:eastAsia="Times New Roman"/>
          <w:sz w:val="22"/>
        </w:rPr>
      </w:r>
      <w:r/>
    </w:p>
    <w:p>
      <w:pPr>
        <w:contextualSpacing/>
        <w:jc w:val="both"/>
        <w:spacing w:line="240" w:lineRule="atLeas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sz w:val="22"/>
          <w:szCs w:val="24"/>
        </w:rPr>
        <w:t xml:space="preserve">Корноух Л. И.</w:t>
      </w:r>
      <w:r>
        <w:rPr>
          <w:rFonts w:ascii="Times New Roman" w:hAnsi="Times New Roman" w:cs="Times New Roman" w:eastAsia="Times New Roman"/>
          <w:sz w:val="22"/>
          <w:szCs w:val="24"/>
        </w:rPr>
        <w:t xml:space="preserve">                                           ____________________Жуков М. Н.</w:t>
      </w:r>
      <w:r>
        <w:rPr>
          <w:rFonts w:ascii="Times New Roman" w:hAnsi="Times New Roman" w:cs="Times New Roman" w:eastAsia="Times New Roman"/>
          <w:b/>
          <w:bCs/>
          <w:sz w:val="22"/>
          <w:szCs w:val="24"/>
        </w:rPr>
        <w:t xml:space="preserve">         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</w:t>
      </w:r>
      <w:r/>
    </w:p>
    <w:sectPr>
      <w:headerReference w:type="default" r:id="rId9"/>
      <w:footnotePr/>
      <w:endnotePr/>
      <w:type w:val="nextPage"/>
      <w:pgSz w:w="11906" w:h="16838" w:orient="portrait"/>
      <w:pgMar w:top="709" w:right="850" w:bottom="851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</w:font>
  <w:font w:name="Segoe UI">
    <w:panose1 w:val="020B0502040204020203"/>
  </w:font>
  <w:font w:name="Courier New">
    <w:panose1 w:val="02070309020205020404"/>
  </w:font>
  <w:font w:name="Century Gothic">
    <w:panose1 w:val="020B0502020202020204"/>
  </w:font>
  <w:font w:name="Arial">
    <w:panose1 w:val="020B0604020202020204"/>
  </w:font>
  <w:font w:name="Consultant">
    <w:panose1 w:val="020B0503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0"/>
    </w:pPr>
    <w:r>
      <w:t xml:space="preserve">                                                                                   </w: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84" w:hanging="384"/>
      </w:pPr>
    </w:lvl>
    <w:lvl w:ilvl="1">
      <w:start w:val="1"/>
      <w:numFmt w:val="decimal"/>
      <w:isLgl w:val="false"/>
      <w:suff w:val="tab"/>
      <w:lvlText w:val="%1.%2."/>
      <w:lvlJc w:val="left"/>
      <w:pPr>
        <w:ind w:left="384" w:hanging="384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Times New Roman" w:eastAsia="Calibri" w:hint="default"/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0">
    <w:name w:val="Heading 1 Char"/>
    <w:basedOn w:val="678"/>
    <w:link w:val="669"/>
    <w:uiPriority w:val="9"/>
    <w:rPr>
      <w:rFonts w:ascii="Arial" w:hAnsi="Arial" w:cs="Arial" w:eastAsia="Arial"/>
      <w:sz w:val="40"/>
      <w:szCs w:val="40"/>
    </w:rPr>
  </w:style>
  <w:style w:type="character" w:styleId="651">
    <w:name w:val="Heading 2 Char"/>
    <w:basedOn w:val="678"/>
    <w:link w:val="670"/>
    <w:uiPriority w:val="9"/>
    <w:rPr>
      <w:rFonts w:ascii="Arial" w:hAnsi="Arial" w:cs="Arial" w:eastAsia="Arial"/>
      <w:sz w:val="34"/>
    </w:rPr>
  </w:style>
  <w:style w:type="character" w:styleId="652">
    <w:name w:val="Heading 3 Char"/>
    <w:basedOn w:val="678"/>
    <w:link w:val="671"/>
    <w:uiPriority w:val="9"/>
    <w:rPr>
      <w:rFonts w:ascii="Arial" w:hAnsi="Arial" w:cs="Arial" w:eastAsia="Arial"/>
      <w:sz w:val="30"/>
      <w:szCs w:val="30"/>
    </w:rPr>
  </w:style>
  <w:style w:type="character" w:styleId="653">
    <w:name w:val="Heading 4 Char"/>
    <w:basedOn w:val="678"/>
    <w:link w:val="672"/>
    <w:uiPriority w:val="9"/>
    <w:rPr>
      <w:rFonts w:ascii="Arial" w:hAnsi="Arial" w:cs="Arial" w:eastAsia="Arial"/>
      <w:b/>
      <w:bCs/>
      <w:sz w:val="26"/>
      <w:szCs w:val="26"/>
    </w:rPr>
  </w:style>
  <w:style w:type="character" w:styleId="654">
    <w:name w:val="Heading 5 Char"/>
    <w:basedOn w:val="678"/>
    <w:link w:val="673"/>
    <w:uiPriority w:val="9"/>
    <w:rPr>
      <w:rFonts w:ascii="Arial" w:hAnsi="Arial" w:cs="Arial" w:eastAsia="Arial"/>
      <w:b/>
      <w:bCs/>
      <w:sz w:val="24"/>
      <w:szCs w:val="24"/>
    </w:rPr>
  </w:style>
  <w:style w:type="character" w:styleId="655">
    <w:name w:val="Heading 6 Char"/>
    <w:basedOn w:val="678"/>
    <w:link w:val="674"/>
    <w:uiPriority w:val="9"/>
    <w:rPr>
      <w:rFonts w:ascii="Arial" w:hAnsi="Arial" w:cs="Arial" w:eastAsia="Arial"/>
      <w:b/>
      <w:bCs/>
      <w:sz w:val="22"/>
      <w:szCs w:val="22"/>
    </w:rPr>
  </w:style>
  <w:style w:type="character" w:styleId="656">
    <w:name w:val="Heading 7 Char"/>
    <w:basedOn w:val="678"/>
    <w:link w:val="675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657">
    <w:name w:val="Heading 8 Char"/>
    <w:basedOn w:val="678"/>
    <w:link w:val="676"/>
    <w:uiPriority w:val="9"/>
    <w:rPr>
      <w:rFonts w:ascii="Arial" w:hAnsi="Arial" w:cs="Arial" w:eastAsia="Arial"/>
      <w:i/>
      <w:iCs/>
      <w:sz w:val="22"/>
      <w:szCs w:val="22"/>
    </w:rPr>
  </w:style>
  <w:style w:type="character" w:styleId="658">
    <w:name w:val="Heading 9 Char"/>
    <w:basedOn w:val="678"/>
    <w:link w:val="677"/>
    <w:uiPriority w:val="9"/>
    <w:rPr>
      <w:rFonts w:ascii="Arial" w:hAnsi="Arial" w:cs="Arial" w:eastAsia="Arial"/>
      <w:i/>
      <w:iCs/>
      <w:sz w:val="21"/>
      <w:szCs w:val="21"/>
    </w:rPr>
  </w:style>
  <w:style w:type="character" w:styleId="659">
    <w:name w:val="Title Char"/>
    <w:basedOn w:val="678"/>
    <w:link w:val="692"/>
    <w:uiPriority w:val="10"/>
    <w:rPr>
      <w:sz w:val="48"/>
      <w:szCs w:val="48"/>
    </w:rPr>
  </w:style>
  <w:style w:type="character" w:styleId="660">
    <w:name w:val="Subtitle Char"/>
    <w:basedOn w:val="678"/>
    <w:link w:val="694"/>
    <w:uiPriority w:val="11"/>
    <w:rPr>
      <w:sz w:val="24"/>
      <w:szCs w:val="24"/>
    </w:rPr>
  </w:style>
  <w:style w:type="character" w:styleId="661">
    <w:name w:val="Quote Char"/>
    <w:link w:val="696"/>
    <w:uiPriority w:val="29"/>
    <w:rPr>
      <w:i/>
    </w:rPr>
  </w:style>
  <w:style w:type="character" w:styleId="662">
    <w:name w:val="Intense Quote Char"/>
    <w:link w:val="698"/>
    <w:uiPriority w:val="30"/>
    <w:rPr>
      <w:i/>
    </w:rPr>
  </w:style>
  <w:style w:type="character" w:styleId="663">
    <w:name w:val="Footnote Text Char"/>
    <w:link w:val="833"/>
    <w:uiPriority w:val="99"/>
    <w:rPr>
      <w:sz w:val="18"/>
    </w:rPr>
  </w:style>
  <w:style w:type="paragraph" w:styleId="664">
    <w:name w:val="endnote text"/>
    <w:basedOn w:val="668"/>
    <w:link w:val="665"/>
    <w:uiPriority w:val="99"/>
    <w:semiHidden/>
    <w:unhideWhenUsed/>
    <w:pPr>
      <w:spacing w:after="0" w:line="240" w:lineRule="auto"/>
    </w:pPr>
    <w:rPr>
      <w:sz w:val="20"/>
    </w:rPr>
  </w:style>
  <w:style w:type="character" w:styleId="665">
    <w:name w:val="Endnote Text Char"/>
    <w:link w:val="664"/>
    <w:uiPriority w:val="99"/>
    <w:rPr>
      <w:sz w:val="20"/>
    </w:rPr>
  </w:style>
  <w:style w:type="character" w:styleId="666">
    <w:name w:val="endnote reference"/>
    <w:basedOn w:val="678"/>
    <w:uiPriority w:val="99"/>
    <w:semiHidden/>
    <w:unhideWhenUsed/>
    <w:rPr>
      <w:vertAlign w:val="superscript"/>
    </w:rPr>
  </w:style>
  <w:style w:type="paragraph" w:styleId="667">
    <w:name w:val="table of figures"/>
    <w:basedOn w:val="668"/>
    <w:next w:val="668"/>
    <w:uiPriority w:val="99"/>
    <w:unhideWhenUsed/>
    <w:pPr>
      <w:spacing w:after="0" w:afterAutospacing="0"/>
    </w:pPr>
  </w:style>
  <w:style w:type="paragraph" w:styleId="668" w:default="1">
    <w:name w:val="Normal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</w:style>
  <w:style w:type="paragraph" w:styleId="669">
    <w:name w:val="Heading 1"/>
    <w:link w:val="681"/>
    <w:uiPriority w:val="9"/>
    <w:qFormat/>
    <w:pPr>
      <w:keepLines/>
      <w:keepNext/>
      <w:spacing w:before="480" w:after="20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0"/>
    </w:pPr>
    <w:rPr>
      <w:rFonts w:ascii="Arial" w:hAnsi="Arial" w:cs="Arial" w:eastAsia="Arial"/>
      <w:sz w:val="40"/>
      <w:szCs w:val="40"/>
      <w:lang w:bidi="en-US" w:eastAsia="en-US"/>
    </w:rPr>
  </w:style>
  <w:style w:type="paragraph" w:styleId="670">
    <w:name w:val="Heading 2"/>
    <w:link w:val="682"/>
    <w:uiPriority w:val="9"/>
    <w:unhideWhenUsed/>
    <w:qFormat/>
    <w:pPr>
      <w:keepLines/>
      <w:keepNext/>
      <w:spacing w:before="360" w:after="20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1"/>
    </w:pPr>
    <w:rPr>
      <w:rFonts w:ascii="Arial" w:hAnsi="Arial" w:cs="Arial" w:eastAsia="Arial"/>
      <w:sz w:val="34"/>
      <w:szCs w:val="22"/>
      <w:lang w:bidi="en-US" w:eastAsia="en-US"/>
    </w:rPr>
  </w:style>
  <w:style w:type="paragraph" w:styleId="671">
    <w:name w:val="Heading 3"/>
    <w:link w:val="683"/>
    <w:uiPriority w:val="9"/>
    <w:unhideWhenUsed/>
    <w:qFormat/>
    <w:pPr>
      <w:keepLines/>
      <w:keepNext/>
      <w:spacing w:before="320" w:after="20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2"/>
    </w:pPr>
    <w:rPr>
      <w:rFonts w:ascii="Arial" w:hAnsi="Arial" w:cs="Arial" w:eastAsia="Arial"/>
      <w:sz w:val="30"/>
      <w:szCs w:val="30"/>
      <w:lang w:bidi="en-US" w:eastAsia="en-US"/>
    </w:rPr>
  </w:style>
  <w:style w:type="paragraph" w:styleId="672">
    <w:name w:val="Heading 4"/>
    <w:link w:val="684"/>
    <w:uiPriority w:val="9"/>
    <w:unhideWhenUsed/>
    <w:qFormat/>
    <w:pPr>
      <w:keepLines/>
      <w:keepNext/>
      <w:spacing w:before="320" w:after="20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3"/>
    </w:pPr>
    <w:rPr>
      <w:rFonts w:ascii="Arial" w:hAnsi="Arial" w:cs="Arial" w:eastAsia="Arial"/>
      <w:b/>
      <w:bCs/>
      <w:sz w:val="26"/>
      <w:szCs w:val="26"/>
      <w:lang w:bidi="en-US" w:eastAsia="en-US"/>
    </w:rPr>
  </w:style>
  <w:style w:type="paragraph" w:styleId="673">
    <w:name w:val="Heading 5"/>
    <w:link w:val="685"/>
    <w:uiPriority w:val="9"/>
    <w:unhideWhenUsed/>
    <w:qFormat/>
    <w:pPr>
      <w:keepLines/>
      <w:keepNext/>
      <w:spacing w:before="320" w:after="20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4"/>
    </w:pPr>
    <w:rPr>
      <w:rFonts w:ascii="Arial" w:hAnsi="Arial" w:cs="Arial" w:eastAsia="Arial"/>
      <w:b/>
      <w:bCs/>
      <w:sz w:val="24"/>
      <w:szCs w:val="24"/>
      <w:lang w:bidi="en-US" w:eastAsia="en-US"/>
    </w:rPr>
  </w:style>
  <w:style w:type="paragraph" w:styleId="674">
    <w:name w:val="Heading 6"/>
    <w:link w:val="686"/>
    <w:uiPriority w:val="9"/>
    <w:unhideWhenUsed/>
    <w:qFormat/>
    <w:pPr>
      <w:keepLines/>
      <w:keepNext/>
      <w:spacing w:before="320" w:after="20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5"/>
    </w:pPr>
    <w:rPr>
      <w:rFonts w:ascii="Arial" w:hAnsi="Arial" w:cs="Arial" w:eastAsia="Arial"/>
      <w:b/>
      <w:bCs/>
      <w:sz w:val="22"/>
      <w:szCs w:val="22"/>
      <w:lang w:bidi="en-US" w:eastAsia="en-US"/>
    </w:rPr>
  </w:style>
  <w:style w:type="paragraph" w:styleId="675">
    <w:name w:val="Heading 7"/>
    <w:link w:val="687"/>
    <w:uiPriority w:val="9"/>
    <w:unhideWhenUsed/>
    <w:qFormat/>
    <w:pPr>
      <w:keepLines/>
      <w:keepNext/>
      <w:spacing w:before="320" w:after="20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6"/>
    </w:pPr>
    <w:rPr>
      <w:rFonts w:ascii="Arial" w:hAnsi="Arial" w:cs="Arial" w:eastAsia="Arial"/>
      <w:b/>
      <w:bCs/>
      <w:i/>
      <w:iCs/>
      <w:sz w:val="22"/>
      <w:szCs w:val="22"/>
      <w:lang w:bidi="en-US" w:eastAsia="en-US"/>
    </w:rPr>
  </w:style>
  <w:style w:type="paragraph" w:styleId="676">
    <w:name w:val="Heading 8"/>
    <w:link w:val="688"/>
    <w:uiPriority w:val="9"/>
    <w:unhideWhenUsed/>
    <w:qFormat/>
    <w:pPr>
      <w:keepLines/>
      <w:keepNext/>
      <w:spacing w:before="320" w:after="20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7"/>
    </w:pPr>
    <w:rPr>
      <w:rFonts w:ascii="Arial" w:hAnsi="Arial" w:cs="Arial" w:eastAsia="Arial"/>
      <w:i/>
      <w:iCs/>
      <w:sz w:val="22"/>
      <w:szCs w:val="22"/>
      <w:lang w:bidi="en-US" w:eastAsia="en-US"/>
    </w:rPr>
  </w:style>
  <w:style w:type="paragraph" w:styleId="677">
    <w:name w:val="Heading 9"/>
    <w:link w:val="689"/>
    <w:uiPriority w:val="9"/>
    <w:unhideWhenUsed/>
    <w:qFormat/>
    <w:pPr>
      <w:keepLines/>
      <w:keepNext/>
      <w:spacing w:before="320" w:after="20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8"/>
    </w:pPr>
    <w:rPr>
      <w:rFonts w:ascii="Arial" w:hAnsi="Arial" w:cs="Arial" w:eastAsia="Arial"/>
      <w:i/>
      <w:iCs/>
      <w:sz w:val="21"/>
      <w:szCs w:val="21"/>
      <w:lang w:bidi="en-US" w:eastAsia="en-US"/>
    </w:rPr>
  </w:style>
  <w:style w:type="character" w:styleId="678" w:default="1">
    <w:name w:val="Default Paragraph Font"/>
    <w:uiPriority w:val="1"/>
    <w:semiHidden/>
    <w:unhideWhenUsed/>
  </w:style>
  <w:style w:type="table" w:styleId="67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0" w:default="1">
    <w:name w:val="No List"/>
    <w:uiPriority w:val="99"/>
    <w:semiHidden/>
    <w:unhideWhenUsed/>
  </w:style>
  <w:style w:type="character" w:styleId="681" w:customStyle="1">
    <w:name w:val="Заголовок 1 Знак"/>
    <w:link w:val="669"/>
    <w:uiPriority w:val="9"/>
    <w:rPr>
      <w:rFonts w:ascii="Arial" w:hAnsi="Arial" w:cs="Arial" w:eastAsia="Arial"/>
      <w:sz w:val="40"/>
      <w:szCs w:val="40"/>
    </w:rPr>
  </w:style>
  <w:style w:type="character" w:styleId="682" w:customStyle="1">
    <w:name w:val="Заголовок 2 Знак"/>
    <w:link w:val="670"/>
    <w:uiPriority w:val="9"/>
    <w:rPr>
      <w:rFonts w:ascii="Arial" w:hAnsi="Arial" w:cs="Arial" w:eastAsia="Arial"/>
      <w:sz w:val="34"/>
    </w:rPr>
  </w:style>
  <w:style w:type="character" w:styleId="683" w:customStyle="1">
    <w:name w:val="Заголовок 3 Знак"/>
    <w:link w:val="671"/>
    <w:uiPriority w:val="9"/>
    <w:rPr>
      <w:rFonts w:ascii="Arial" w:hAnsi="Arial" w:cs="Arial" w:eastAsia="Arial"/>
      <w:sz w:val="30"/>
      <w:szCs w:val="30"/>
    </w:rPr>
  </w:style>
  <w:style w:type="character" w:styleId="684" w:customStyle="1">
    <w:name w:val="Заголовок 4 Знак"/>
    <w:link w:val="672"/>
    <w:uiPriority w:val="9"/>
    <w:rPr>
      <w:rFonts w:ascii="Arial" w:hAnsi="Arial" w:cs="Arial" w:eastAsia="Arial"/>
      <w:b/>
      <w:bCs/>
      <w:sz w:val="26"/>
      <w:szCs w:val="26"/>
    </w:rPr>
  </w:style>
  <w:style w:type="character" w:styleId="685" w:customStyle="1">
    <w:name w:val="Заголовок 5 Знак"/>
    <w:link w:val="673"/>
    <w:uiPriority w:val="9"/>
    <w:rPr>
      <w:rFonts w:ascii="Arial" w:hAnsi="Arial" w:cs="Arial" w:eastAsia="Arial"/>
      <w:b/>
      <w:bCs/>
      <w:sz w:val="24"/>
      <w:szCs w:val="24"/>
    </w:rPr>
  </w:style>
  <w:style w:type="character" w:styleId="686" w:customStyle="1">
    <w:name w:val="Заголовок 6 Знак"/>
    <w:link w:val="674"/>
    <w:uiPriority w:val="9"/>
    <w:rPr>
      <w:rFonts w:ascii="Arial" w:hAnsi="Arial" w:cs="Arial" w:eastAsia="Arial"/>
      <w:b/>
      <w:bCs/>
      <w:sz w:val="22"/>
      <w:szCs w:val="22"/>
    </w:rPr>
  </w:style>
  <w:style w:type="character" w:styleId="687" w:customStyle="1">
    <w:name w:val="Заголовок 7 Знак"/>
    <w:link w:val="675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688" w:customStyle="1">
    <w:name w:val="Заголовок 8 Знак"/>
    <w:link w:val="676"/>
    <w:uiPriority w:val="9"/>
    <w:rPr>
      <w:rFonts w:ascii="Arial" w:hAnsi="Arial" w:cs="Arial" w:eastAsia="Arial"/>
      <w:i/>
      <w:iCs/>
      <w:sz w:val="22"/>
      <w:szCs w:val="22"/>
    </w:rPr>
  </w:style>
  <w:style w:type="character" w:styleId="689" w:customStyle="1">
    <w:name w:val="Заголовок 9 Знак"/>
    <w:link w:val="677"/>
    <w:uiPriority w:val="9"/>
    <w:rPr>
      <w:rFonts w:ascii="Arial" w:hAnsi="Arial" w:cs="Arial" w:eastAsia="Arial"/>
      <w:i/>
      <w:iCs/>
      <w:sz w:val="21"/>
      <w:szCs w:val="21"/>
    </w:rPr>
  </w:style>
  <w:style w:type="paragraph" w:styleId="690">
    <w:name w:val="List Paragraph"/>
    <w:uiPriority w:val="34"/>
    <w:qFormat/>
    <w:pPr>
      <w:contextualSpacing/>
      <w:ind w:left="72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</w:style>
  <w:style w:type="paragraph" w:styleId="691">
    <w:name w:val="No Spacing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/>
    </w:rPr>
  </w:style>
  <w:style w:type="paragraph" w:styleId="692">
    <w:name w:val="Title"/>
    <w:link w:val="693"/>
    <w:uiPriority w:val="10"/>
    <w:qFormat/>
    <w:pPr>
      <w:contextualSpacing/>
      <w:spacing w:before="300" w:after="20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48"/>
      <w:szCs w:val="48"/>
      <w:lang w:bidi="en-US" w:eastAsia="en-US"/>
    </w:rPr>
  </w:style>
  <w:style w:type="character" w:styleId="693" w:customStyle="1">
    <w:name w:val="Заголовок Знак"/>
    <w:link w:val="692"/>
    <w:uiPriority w:val="10"/>
    <w:rPr>
      <w:sz w:val="48"/>
      <w:szCs w:val="48"/>
    </w:rPr>
  </w:style>
  <w:style w:type="paragraph" w:styleId="694">
    <w:name w:val="Subtitle"/>
    <w:link w:val="695"/>
    <w:uiPriority w:val="11"/>
    <w:qFormat/>
    <w:pPr>
      <w:spacing w:before="200" w:after="20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4"/>
      <w:szCs w:val="24"/>
      <w:lang w:bidi="en-US" w:eastAsia="en-US"/>
    </w:rPr>
  </w:style>
  <w:style w:type="character" w:styleId="695" w:customStyle="1">
    <w:name w:val="Подзаголовок Знак"/>
    <w:link w:val="694"/>
    <w:uiPriority w:val="11"/>
    <w:rPr>
      <w:sz w:val="24"/>
      <w:szCs w:val="24"/>
    </w:rPr>
  </w:style>
  <w:style w:type="paragraph" w:styleId="696">
    <w:name w:val="Quote"/>
    <w:link w:val="697"/>
    <w:uiPriority w:val="29"/>
    <w:qFormat/>
    <w:pPr>
      <w:ind w:left="720" w:right="72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i/>
      <w:szCs w:val="22"/>
      <w:lang w:bidi="en-US" w:eastAsia="en-US"/>
    </w:rPr>
  </w:style>
  <w:style w:type="character" w:styleId="697" w:customStyle="1">
    <w:name w:val="Цитата 2 Знак"/>
    <w:link w:val="696"/>
    <w:uiPriority w:val="29"/>
    <w:rPr>
      <w:i/>
    </w:rPr>
  </w:style>
  <w:style w:type="paragraph" w:styleId="698">
    <w:name w:val="Intense Quote"/>
    <w:link w:val="69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  <w:between w:val="none" w:color="000000" w:sz="4" w:space="0"/>
      </w:pBdr>
    </w:pPr>
    <w:rPr>
      <w:i/>
      <w:szCs w:val="22"/>
      <w:lang w:bidi="en-US" w:eastAsia="en-US"/>
    </w:rPr>
  </w:style>
  <w:style w:type="character" w:styleId="699" w:customStyle="1">
    <w:name w:val="Выделенная цитата Знак"/>
    <w:link w:val="698"/>
    <w:uiPriority w:val="30"/>
    <w:rPr>
      <w:i/>
    </w:rPr>
  </w:style>
  <w:style w:type="paragraph" w:styleId="700">
    <w:name w:val="Header"/>
    <w:basedOn w:val="668"/>
    <w:link w:val="854"/>
    <w:pPr>
      <w:tabs>
        <w:tab w:val="center" w:pos="4677" w:leader="none"/>
        <w:tab w:val="right" w:pos="9355" w:leader="none"/>
      </w:tabs>
    </w:pPr>
  </w:style>
  <w:style w:type="character" w:styleId="701" w:customStyle="1">
    <w:name w:val="Header Char"/>
    <w:uiPriority w:val="99"/>
  </w:style>
  <w:style w:type="paragraph" w:styleId="702">
    <w:name w:val="Footer"/>
    <w:basedOn w:val="668"/>
    <w:link w:val="855"/>
    <w:pPr>
      <w:tabs>
        <w:tab w:val="center" w:pos="4677" w:leader="none"/>
        <w:tab w:val="right" w:pos="9355" w:leader="none"/>
      </w:tabs>
    </w:pPr>
  </w:style>
  <w:style w:type="character" w:styleId="703" w:customStyle="1">
    <w:name w:val="Footer Char"/>
    <w:uiPriority w:val="99"/>
  </w:style>
  <w:style w:type="paragraph" w:styleId="704">
    <w:name w:val="Caption"/>
    <w:uiPriority w:val="35"/>
    <w:semiHidden/>
    <w:unhideWhenUsed/>
    <w:qFormat/>
    <w:pPr>
      <w:spacing w:line="276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b/>
      <w:bCs/>
      <w:color w:val="4F81BD"/>
      <w:sz w:val="18"/>
      <w:szCs w:val="18"/>
      <w:lang w:bidi="en-US" w:eastAsia="en-US"/>
    </w:rPr>
  </w:style>
  <w:style w:type="character" w:styleId="705" w:customStyle="1">
    <w:name w:val="Caption Char"/>
    <w:uiPriority w:val="99"/>
  </w:style>
  <w:style w:type="table" w:styleId="706">
    <w:name w:val="Table Grid"/>
    <w:basedOn w:val="679"/>
    <w:tblPr/>
  </w:style>
  <w:style w:type="table" w:styleId="707" w:customStyle="1">
    <w:name w:val="Table Grid Light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8">
    <w:name w:val="Plain Table 1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Plain Table 2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11">
    <w:name w:val="Plain Table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12">
    <w:name w:val="Plain Table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13">
    <w:name w:val="Grid Table 1 Ligh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14" w:customStyle="1">
    <w:name w:val="Grid Table 1 Light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15" w:customStyle="1">
    <w:name w:val="Grid Table 1 Light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16" w:customStyle="1">
    <w:name w:val="Grid Table 1 Light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17" w:customStyle="1">
    <w:name w:val="Grid Table 1 Light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18" w:customStyle="1">
    <w:name w:val="Grid Table 1 Light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19" w:customStyle="1">
    <w:name w:val="Grid Table 1 Light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0">
    <w:name w:val="Grid Table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1" w:customStyle="1">
    <w:name w:val="Grid Table 2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2" w:customStyle="1">
    <w:name w:val="Grid Table 2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3" w:customStyle="1">
    <w:name w:val="Grid Table 2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4" w:customStyle="1">
    <w:name w:val="Grid Table 2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5" w:customStyle="1">
    <w:name w:val="Grid Table 2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6" w:customStyle="1">
    <w:name w:val="Grid Table 2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7">
    <w:name w:val="Grid Table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8" w:customStyle="1">
    <w:name w:val="Grid Table 3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9" w:customStyle="1">
    <w:name w:val="Grid Table 3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0" w:customStyle="1">
    <w:name w:val="Grid Table 3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1" w:customStyle="1">
    <w:name w:val="Grid Table 3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2" w:customStyle="1">
    <w:name w:val="Grid Table 3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3" w:customStyle="1">
    <w:name w:val="Grid Table 3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4">
    <w:name w:val="Grid Table 4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5" w:customStyle="1">
    <w:name w:val="Grid Table 4 - Accent 1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6" w:customStyle="1">
    <w:name w:val="Grid Table 4 - Accent 2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7" w:customStyle="1">
    <w:name w:val="Grid Table 4 - Accent 3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8" w:customStyle="1">
    <w:name w:val="Grid Table 4 - Accent 4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9" w:customStyle="1">
    <w:name w:val="Grid Table 4 - Accent 5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0" w:customStyle="1">
    <w:name w:val="Grid Table 4 - Accent 6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1">
    <w:name w:val="Grid Table 5 Dark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42" w:customStyle="1">
    <w:name w:val="Grid Table 5 Dark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43" w:customStyle="1">
    <w:name w:val="Grid Table 5 Dark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44" w:customStyle="1">
    <w:name w:val="Grid Table 5 Dark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45" w:customStyle="1">
    <w:name w:val="Grid Table 5 Dark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46" w:customStyle="1">
    <w:name w:val="Grid Table 5 Dark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47" w:customStyle="1">
    <w:name w:val="Grid Table 5 Dark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48">
    <w:name w:val="Grid Table 6 Colorful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9" w:customStyle="1">
    <w:name w:val="Grid Table 6 Colorful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0" w:customStyle="1">
    <w:name w:val="Grid Table 6 Colorful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1" w:customStyle="1">
    <w:name w:val="Grid Table 6 Colorful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2" w:customStyle="1">
    <w:name w:val="Grid Table 6 Colorful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3" w:customStyle="1">
    <w:name w:val="Grid Table 6 Colorful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4" w:customStyle="1">
    <w:name w:val="Grid Table 6 Colorful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5">
    <w:name w:val="Grid Table 7 Colorful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6" w:customStyle="1">
    <w:name w:val="Grid Table 7 Colorful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7" w:customStyle="1">
    <w:name w:val="Grid Table 7 Colorful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8" w:customStyle="1">
    <w:name w:val="Grid Table 7 Colorful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9" w:customStyle="1">
    <w:name w:val="Grid Table 7 Colorful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0" w:customStyle="1">
    <w:name w:val="Grid Table 7 Colorful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1" w:customStyle="1">
    <w:name w:val="Grid Table 7 Colorful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2">
    <w:name w:val="List Table 1 Ligh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List Table 1 Light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List Table 1 Light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List Table 1 Light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List Table 1 Light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List Table 1 Light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List Table 1 Light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9">
    <w:name w:val="List Table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List Table 2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List Table 2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List Table 2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List Table 2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List Table 2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List Table 2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>
    <w:name w:val="List Table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List Table 3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List Table 3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List Table 3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List Table 3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List Table 3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List Table 3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>
    <w:name w:val="List Table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List Table 4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List Table 4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List Table 4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List Table 4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List Table 4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List Table 4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>
    <w:name w:val="List Table 5 Dark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auto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List Table 5 Dark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auto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List Table 5 Dark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auto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List Table 5 Dark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auto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List Table 5 Dark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auto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List Table 5 Dark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auto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List Table 5 Dark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auto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797">
    <w:name w:val="List Table 6 Colorful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List Table 6 Colorful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List Table 6 Colorful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List Table 6 Colorful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List Table 6 Colorful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List Table 6 Colorful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List Table 6 Colorful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>
    <w:name w:val="List Table 7 Colorful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List Table 7 Colorful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List Table 7 Colorful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List Table 7 Colorful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List Table 7 Colorful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List Table 7 Colorful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List Table 7 Colorful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Lined - Accen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Lined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ned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ned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ned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ned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ned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Bordered &amp; Lined - Accen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Bordered &amp; Lined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Bordered &amp; Lined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Bordered &amp; Lined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Bordered &amp; Lined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Bordered &amp; Lined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Bordered &amp; Lined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Bordered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Bordered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Bordered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Bordered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Bordered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Bordered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Bordered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32">
    <w:name w:val="Hyperlink"/>
    <w:rPr>
      <w:color w:val="0000FF"/>
      <w:u w:val="single"/>
    </w:rPr>
  </w:style>
  <w:style w:type="paragraph" w:styleId="833">
    <w:name w:val="footnote text"/>
    <w:link w:val="834"/>
    <w:uiPriority w:val="99"/>
    <w:semiHidden/>
    <w:unhideWhenUsed/>
    <w:pPr>
      <w:spacing w:after="4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18"/>
      <w:szCs w:val="22"/>
      <w:lang w:bidi="en-US" w:eastAsia="en-US"/>
    </w:rPr>
  </w:style>
  <w:style w:type="character" w:styleId="834" w:customStyle="1">
    <w:name w:val="Текст сноски Знак"/>
    <w:link w:val="833"/>
    <w:uiPriority w:val="99"/>
    <w:rPr>
      <w:sz w:val="18"/>
    </w:rPr>
  </w:style>
  <w:style w:type="character" w:styleId="835">
    <w:name w:val="footnote reference"/>
    <w:uiPriority w:val="99"/>
    <w:unhideWhenUsed/>
    <w:rPr>
      <w:vertAlign w:val="superscript"/>
    </w:rPr>
  </w:style>
  <w:style w:type="paragraph" w:styleId="836">
    <w:name w:val="toc 1"/>
    <w:uiPriority w:val="39"/>
    <w:unhideWhenUsed/>
    <w:pPr>
      <w:spacing w:after="57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</w:style>
  <w:style w:type="paragraph" w:styleId="837">
    <w:name w:val="toc 2"/>
    <w:uiPriority w:val="39"/>
    <w:unhideWhenUsed/>
    <w:pPr>
      <w:ind w:left="283"/>
      <w:spacing w:after="57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</w:style>
  <w:style w:type="paragraph" w:styleId="838">
    <w:name w:val="toc 3"/>
    <w:uiPriority w:val="39"/>
    <w:unhideWhenUsed/>
    <w:pPr>
      <w:ind w:left="567"/>
      <w:spacing w:after="57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</w:style>
  <w:style w:type="paragraph" w:styleId="839">
    <w:name w:val="toc 4"/>
    <w:uiPriority w:val="39"/>
    <w:unhideWhenUsed/>
    <w:pPr>
      <w:ind w:left="850"/>
      <w:spacing w:after="57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</w:style>
  <w:style w:type="paragraph" w:styleId="840">
    <w:name w:val="toc 5"/>
    <w:uiPriority w:val="39"/>
    <w:unhideWhenUsed/>
    <w:pPr>
      <w:ind w:left="1134"/>
      <w:spacing w:after="57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</w:style>
  <w:style w:type="paragraph" w:styleId="841">
    <w:name w:val="toc 6"/>
    <w:uiPriority w:val="39"/>
    <w:unhideWhenUsed/>
    <w:pPr>
      <w:ind w:left="1417"/>
      <w:spacing w:after="57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</w:style>
  <w:style w:type="paragraph" w:styleId="842">
    <w:name w:val="toc 7"/>
    <w:uiPriority w:val="39"/>
    <w:unhideWhenUsed/>
    <w:pPr>
      <w:ind w:left="1701"/>
      <w:spacing w:after="57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</w:style>
  <w:style w:type="paragraph" w:styleId="843">
    <w:name w:val="toc 8"/>
    <w:uiPriority w:val="39"/>
    <w:unhideWhenUsed/>
    <w:pPr>
      <w:ind w:left="1984"/>
      <w:spacing w:after="57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</w:style>
  <w:style w:type="paragraph" w:styleId="844">
    <w:name w:val="toc 9"/>
    <w:uiPriority w:val="39"/>
    <w:unhideWhenUsed/>
    <w:pPr>
      <w:ind w:left="2268"/>
      <w:spacing w:after="57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</w:style>
  <w:style w:type="paragraph" w:styleId="845">
    <w:name w:val="TOC Heading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Cs w:val="22"/>
      <w:lang w:bidi="en-US" w:eastAsia="en-US"/>
    </w:rPr>
  </w:style>
  <w:style w:type="paragraph" w:styleId="846" w:customStyle="1">
    <w:name w:val="Обычный (веб)1"/>
    <w:basedOn w:val="668"/>
    <w:pPr>
      <w:spacing w:before="240" w:after="240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847" w:customStyle="1">
    <w:name w:val="Style3"/>
    <w:basedOn w:val="668"/>
    <w:pPr>
      <w:jc w:val="right"/>
      <w:spacing w:line="586" w:lineRule="exact"/>
      <w:widowControl w:val="off"/>
    </w:pPr>
    <w:rPr>
      <w:rFonts w:ascii="Century Gothic" w:hAnsi="Century Gothic" w:eastAsia="Times New Roman"/>
      <w:sz w:val="24"/>
      <w:szCs w:val="24"/>
      <w:lang w:eastAsia="ru-RU"/>
    </w:rPr>
  </w:style>
  <w:style w:type="character" w:styleId="848" w:customStyle="1">
    <w:name w:val="Font Style30"/>
    <w:rPr>
      <w:rFonts w:ascii="Century Gothic" w:hAnsi="Century Gothic"/>
      <w:sz w:val="46"/>
      <w:szCs w:val="46"/>
    </w:rPr>
  </w:style>
  <w:style w:type="paragraph" w:styleId="849" w:customStyle="1">
    <w:name w:val="ConsPlusNonformat"/>
    <w:pPr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/>
      <w:szCs w:val="22"/>
    </w:rPr>
  </w:style>
  <w:style w:type="paragraph" w:styleId="850" w:customStyle="1">
    <w:name w:val="ConsNonformat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nsultant" w:hAnsi="Consultant" w:eastAsia="Arial"/>
      <w:sz w:val="24"/>
      <w:szCs w:val="22"/>
      <w:lang w:eastAsia="ar-SA"/>
    </w:rPr>
  </w:style>
  <w:style w:type="paragraph" w:styleId="851" w:customStyle="1">
    <w:name w:val="ConsPlusCell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/>
      <w:sz w:val="24"/>
      <w:szCs w:val="24"/>
    </w:rPr>
  </w:style>
  <w:style w:type="character" w:styleId="852" w:customStyle="1">
    <w:name w:val="Неразрешенное упоминание1"/>
    <w:semiHidden/>
    <w:rPr>
      <w:color w:val="605E5C"/>
      <w:shd w:val="clear" w:color="auto" w:fill="e1dfdd"/>
    </w:rPr>
  </w:style>
  <w:style w:type="character" w:styleId="853" w:customStyle="1">
    <w:name w:val="blk"/>
  </w:style>
  <w:style w:type="character" w:styleId="854" w:customStyle="1">
    <w:name w:val="Верхний колонтитул Знак"/>
    <w:link w:val="700"/>
    <w:rPr>
      <w:sz w:val="22"/>
      <w:szCs w:val="22"/>
      <w:lang w:eastAsia="en-US"/>
    </w:rPr>
  </w:style>
  <w:style w:type="character" w:styleId="855" w:customStyle="1">
    <w:name w:val="Нижний колонтитул Знак"/>
    <w:link w:val="702"/>
    <w:rPr>
      <w:sz w:val="22"/>
      <w:szCs w:val="22"/>
      <w:lang w:eastAsia="en-US"/>
    </w:rPr>
  </w:style>
  <w:style w:type="paragraph" w:styleId="856">
    <w:name w:val="Balloon Text"/>
    <w:basedOn w:val="668"/>
    <w:link w:val="857"/>
    <w:semiHidden/>
    <w:rPr>
      <w:rFonts w:ascii="Segoe UI" w:hAnsi="Segoe UI"/>
      <w:sz w:val="18"/>
      <w:szCs w:val="18"/>
    </w:rPr>
  </w:style>
  <w:style w:type="character" w:styleId="857" w:customStyle="1">
    <w:name w:val="Текст выноски Знак"/>
    <w:link w:val="856"/>
    <w:semiHidden/>
    <w:rPr>
      <w:rFonts w:ascii="Segoe UI" w:hAnsi="Segoe UI"/>
      <w:sz w:val="18"/>
      <w:szCs w:val="18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://www/fedresurs.ru/" TargetMode="External"/><Relationship Id="rId11" Type="http://schemas.openxmlformats.org/officeDocument/2006/relationships/hyperlink" Target="http://www/fedresurs.ru/" TargetMode="External"/><Relationship Id="rId12" Type="http://schemas.openxmlformats.org/officeDocument/2006/relationships/hyperlink" Target="http://www/fedresurs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16</cp:revision>
  <dcterms:created xsi:type="dcterms:W3CDTF">2021-07-06T09:01:00Z</dcterms:created>
  <dcterms:modified xsi:type="dcterms:W3CDTF">2022-11-07T12:25:17Z</dcterms:modified>
</cp:coreProperties>
</file>