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12105-ЗАОФ/2</w:t>
      </w:r>
    </w:p>
    <w:p/>
    <w:p>
      <w:pPr>
        <w:pStyle w:val=""/>
      </w:pPr>
      <w:r>
        <w:rPr>
          <w:rStyle w:val=""/>
        </w:rPr>
        <w:t xml:space="preserve">29.01.2025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Габделова Ландыш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161101406962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423941, Республика Татарстан, Бавлинский р-н, село Исергапово, ул Родниковая,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16:11:011605:657 для сельскохозяйственного производства Местоположение установлено относительно ориентира, расположенного в границах участка. Почтовый адрес ориентира: Республика Татарстан, Бавлинский муниципальный район, Исергаповское сельское поселение. Общая долевая собственность 5,87га (земельный пай)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1 939 156.84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2025-01-29T14:27:21+03:00</dcterms:created>
  <dcterms:modified xsi:type="dcterms:W3CDTF">2025-01-29T14:27:21+03:00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