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center"/>
      </w:pPr>
      <w:r>
        <w:rPr>
          <w:rStyle w:val="doc_header"/>
        </w:rPr>
        <w:t xml:space="preserve">ПРОТОКОЛ ОБ ОПРЕДЕЛЕНИИ УЧАСТНИКОВ ТОРГОВ № 11166-ОТПП/2</w:t>
      </w:r>
    </w:p>
    <w:p/>
    <w:p>
      <w:pPr>
        <w:pStyle w:val=""/>
      </w:pPr>
      <w:r>
        <w:rPr>
          <w:rStyle w:val=""/>
        </w:rPr>
        <w:t xml:space="preserve">14.03.2024 г.</w:t>
      </w:r>
    </w:p>
    <w:p/>
    <w:tbl>
      <w:tblGrid>
        <w:gridCol w:w="4000" w:type="dxa"/>
        <w:gridCol w:w="6000" w:type="dxa"/>
      </w:tblGrid>
      <w:tblPr>
        <w:tblStyle w:val="noborder"/>
      </w:tblPr>
      <w:tr>
        <w:trPr/>
        <w:tc>
          <w:tcPr>
            <w:tcW w:w="10000" w:type="dxa"/>
            <w:vAlign w:val="center"/>
            <w:gridSpan w:val="2"/>
          </w:tcPr>
          <w:p>
            <w:pPr>
              <w:pStyle w:val=""/>
            </w:pPr>
            <w:r>
              <w:rPr>
                <w:rStyle w:val="table_header"/>
              </w:rPr>
              <w:t xml:space="preserve">Организатор торгов</w:t>
            </w:r>
          </w:p>
        </w:tc>
      </w:tr>
      <w:tr>
        <w:trPr/>
        <w:tc>
          <w:tcPr>
            <w:tcW w:w="4000" w:type="dxa"/>
            <w:vAlign w:val="center"/>
          </w:tcPr>
          <w:p>
            <w:pPr>
              <w:pStyle w:val=""/>
            </w:pPr>
            <w:r>
              <w:rPr>
                <w:rStyle w:val=""/>
              </w:rPr>
              <w:t xml:space="preserve">ФИО:</w:t>
            </w:r>
          </w:p>
        </w:tc>
        <w:tc>
          <w:tcPr>
            <w:tcW w:w="6000" w:type="dxa"/>
            <w:vAlign w:val="center"/>
          </w:tcPr>
          <w:p>
            <w:pPr>
              <w:pStyle w:val=""/>
            </w:pPr>
            <w:r>
              <w:rPr>
                <w:rStyle w:val=""/>
              </w:rPr>
              <w:t xml:space="preserve">Бавин Антон Николаевич</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744912578009</w:t>
            </w:r>
          </w:p>
        </w:tc>
      </w:tr>
      <w:tr>
        <w:trPr/>
        <w:tc>
          <w:tcPr>
            <w:tcW w:w="4000" w:type="dxa"/>
            <w:vAlign w:val="center"/>
          </w:tcPr>
          <w:p>
            <w:pPr>
              <w:pStyle w:val=""/>
            </w:pPr>
            <w:r>
              <w:rPr>
                <w:rStyle w:val=""/>
              </w:rPr>
              <w:t xml:space="preserve">Телефон/факс:</w:t>
            </w:r>
          </w:p>
        </w:tc>
        <w:tc>
          <w:tcPr>
            <w:tcW w:w="6000" w:type="dxa"/>
            <w:vAlign w:val="center"/>
          </w:tcPr>
          <w:p>
            <w:pPr>
              <w:pStyle w:val=""/>
            </w:pPr>
            <w:r>
              <w:rPr>
                <w:rStyle w:val=""/>
              </w:rPr>
              <w:t xml:space="preserve">+79028615873</w:t>
            </w:r>
          </w:p>
        </w:tc>
      </w:tr>
      <w:tr>
        <w:trPr/>
        <w:tc>
          <w:tcPr>
            <w:tcW w:w="10000" w:type="dxa"/>
            <w:vAlign w:val="center"/>
            <w:gridSpan w:val="2"/>
          </w:tcPr>
          <w:p/>
        </w:tc>
      </w:tr>
      <w:tr>
        <w:trPr/>
        <w:tc>
          <w:tcPr>
            <w:tcW w:w="10000" w:type="dxa"/>
            <w:vAlign w:val="center"/>
            <w:gridSpan w:val="2"/>
          </w:tcPr>
          <w:p>
            <w:pPr>
              <w:pStyle w:val=""/>
            </w:pPr>
            <w:r>
              <w:rPr>
                <w:rStyle w:val="table_header"/>
              </w:rPr>
              <w:t xml:space="preserve">Сведения о должнике</w:t>
            </w:r>
          </w:p>
        </w:tc>
      </w:tr>
      <w:tr>
        <w:trPr/>
        <w:tc>
          <w:tcPr>
            <w:tcW w:w="4000" w:type="dxa"/>
            <w:vAlign w:val="center"/>
          </w:tcPr>
          <w:p>
            <w:pPr>
              <w:pStyle w:val=""/>
            </w:pPr>
            <w:r>
              <w:rPr>
                <w:rStyle w:val=""/>
              </w:rPr>
              <w:t xml:space="preserve">Наименование:</w:t>
            </w:r>
          </w:p>
        </w:tc>
        <w:tc>
          <w:tcPr>
            <w:tcW w:w="6000" w:type="dxa"/>
            <w:vAlign w:val="center"/>
          </w:tcPr>
          <w:p>
            <w:pPr>
              <w:pStyle w:val=""/>
            </w:pPr>
            <w:r>
              <w:rPr>
                <w:rStyle w:val=""/>
              </w:rPr>
              <w:t xml:space="preserve">Общество с Ограниченной ОтветственностьюСТРОЙ ИНВЕСТ</w:t>
            </w:r>
          </w:p>
        </w:tc>
      </w:tr>
      <w:tr>
        <w:trPr/>
        <w:tc>
          <w:tcPr>
            <w:tcW w:w="4000" w:type="dxa"/>
            <w:vAlign w:val="center"/>
          </w:tcPr>
          <w:p>
            <w:pPr>
              <w:pStyle w:val=""/>
            </w:pPr>
            <w:r>
              <w:rPr>
                <w:rStyle w:val=""/>
              </w:rPr>
              <w:t xml:space="preserve">ИНН:</w:t>
            </w:r>
          </w:p>
        </w:tc>
        <w:tc>
          <w:tcPr>
            <w:tcW w:w="6000" w:type="dxa"/>
            <w:vAlign w:val="center"/>
          </w:tcPr>
          <w:p>
            <w:pPr>
              <w:pStyle w:val=""/>
            </w:pPr>
            <w:r>
              <w:rPr>
                <w:rStyle w:val=""/>
              </w:rPr>
              <w:t xml:space="preserve">9729046546</w:t>
            </w:r>
          </w:p>
        </w:tc>
      </w:tr>
      <w:tr>
        <w:trPr/>
        <w:tc>
          <w:tcPr>
            <w:tcW w:w="4000" w:type="dxa"/>
            <w:vAlign w:val="center"/>
          </w:tcPr>
          <w:p>
            <w:pPr>
              <w:pStyle w:val=""/>
            </w:pPr>
            <w:r>
              <w:rPr>
                <w:rStyle w:val=""/>
              </w:rPr>
              <w:t xml:space="preserve">Адрес:</w:t>
            </w:r>
          </w:p>
        </w:tc>
        <w:tc>
          <w:tcPr>
            <w:tcW w:w="6000" w:type="dxa"/>
            <w:vAlign w:val="center"/>
          </w:tcPr>
          <w:p>
            <w:pPr>
              <w:pStyle w:val=""/>
            </w:pPr>
            <w:r>
              <w:rPr>
                <w:rStyle w:val=""/>
              </w:rPr>
              <w:t xml:space="preserve">119021, Г.Москва, ВН.ТЕР.Г. МУНИЦИПАЛЬНЫЙ ОКРУГ ХАМОВНИКИ, УЛ ТИМУРА ФРУНЗЕ, Д. 16, СТР. 3</w:t>
            </w:r>
          </w:p>
        </w:tc>
      </w:tr>
      <w:tr>
        <w:trPr/>
        <w:tc>
          <w:tcPr>
            <w:tcW w:w="4000" w:type="dxa"/>
            <w:vAlign w:val="center"/>
          </w:tcPr>
          <w:p>
            <w:pPr>
              <w:pStyle w:val=""/>
            </w:pPr>
            <w:r>
              <w:rPr>
                <w:rStyle w:val=""/>
              </w:rPr>
              <w:t xml:space="preserve">Номер дела:</w:t>
            </w:r>
          </w:p>
        </w:tc>
        <w:tc>
          <w:tcPr>
            <w:tcW w:w="6000" w:type="dxa"/>
            <w:vAlign w:val="center"/>
          </w:tcPr>
          <w:p>
            <w:pPr>
              <w:pStyle w:val=""/>
            </w:pPr>
            <w:r>
              <w:rPr>
                <w:rStyle w:val=""/>
              </w:rPr>
              <w:t xml:space="preserve">А40-111595/2020</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Информация о торгах и лоте</w:t>
            </w:r>
          </w:p>
        </w:tc>
      </w:tr>
      <w:tr>
        <w:trPr/>
        <w:tc>
          <w:tcPr>
            <w:tcW w:w="4000" w:type="dxa"/>
            <w:vAlign w:val="center"/>
          </w:tcPr>
          <w:p>
            <w:pPr>
              <w:pStyle w:val=""/>
            </w:pPr>
            <w:r>
              <w:rPr>
                <w:rStyle w:val=""/>
              </w:rPr>
              <w:t xml:space="preserve">Тип торгов:</w:t>
            </w:r>
          </w:p>
        </w:tc>
        <w:tc>
          <w:tcPr>
            <w:tcW w:w="6000" w:type="dxa"/>
            <w:vAlign w:val="center"/>
          </w:tcPr>
          <w:p>
            <w:pPr>
              <w:pStyle w:val=""/>
            </w:pPr>
            <w:r>
              <w:rPr>
                <w:rStyle w:val=""/>
              </w:rPr>
              <w:t xml:space="preserve">Публичное предложение</w:t>
            </w:r>
          </w:p>
        </w:tc>
      </w:tr>
      <w:tr>
        <w:trPr/>
        <w:tc>
          <w:tcPr>
            <w:tcW w:w="4000" w:type="dxa"/>
            <w:vAlign w:val="center"/>
          </w:tcPr>
          <w:p>
            <w:pPr>
              <w:pStyle w:val=""/>
            </w:pPr>
            <w:r>
              <w:rPr>
                <w:rStyle w:val=""/>
              </w:rPr>
              <w:t xml:space="preserve">Код торгов:</w:t>
            </w:r>
          </w:p>
        </w:tc>
        <w:tc>
          <w:tcPr>
            <w:tcW w:w="6000" w:type="dxa"/>
            <w:vAlign w:val="center"/>
          </w:tcPr>
          <w:p>
            <w:pPr>
              <w:pStyle w:val=""/>
            </w:pPr>
            <w:r>
              <w:rPr>
                <w:rStyle w:val=""/>
              </w:rPr>
              <w:t xml:space="preserve">11166-ОТПП</w:t>
            </w:r>
          </w:p>
        </w:tc>
      </w:tr>
      <w:tr>
        <w:trPr/>
        <w:tc>
          <w:tcPr>
            <w:tcW w:w="4000" w:type="dxa"/>
            <w:vAlign w:val="center"/>
          </w:tcPr>
          <w:p>
            <w:pPr>
              <w:pStyle w:val=""/>
            </w:pPr>
            <w:r>
              <w:rPr>
                <w:rStyle w:val=""/>
              </w:rPr>
              <w:t xml:space="preserve">Дата начала приема заявок:</w:t>
            </w:r>
          </w:p>
        </w:tc>
        <w:tc>
          <w:tcPr>
            <w:tcW w:w="6000" w:type="dxa"/>
            <w:vAlign w:val="center"/>
          </w:tcPr>
          <w:p>
            <w:pPr>
              <w:pStyle w:val=""/>
            </w:pPr>
            <w:r>
              <w:rPr>
                <w:rStyle w:val=""/>
              </w:rPr>
              <w:t xml:space="preserve">07.02.2024 00:00:00</w:t>
            </w:r>
          </w:p>
        </w:tc>
      </w:tr>
      <w:tr>
        <w:trPr/>
        <w:tc>
          <w:tcPr>
            <w:tcW w:w="4000" w:type="dxa"/>
            <w:vAlign w:val="center"/>
          </w:tcPr>
          <w:p>
            <w:pPr>
              <w:pStyle w:val=""/>
            </w:pPr>
            <w:r>
              <w:rPr>
                <w:rStyle w:val=""/>
              </w:rPr>
              <w:t xml:space="preserve">Дата окончания приема заявок:</w:t>
            </w:r>
          </w:p>
        </w:tc>
        <w:tc>
          <w:tcPr>
            <w:tcW w:w="6000" w:type="dxa"/>
            <w:vAlign w:val="center"/>
          </w:tcPr>
          <w:p>
            <w:pPr>
              <w:pStyle w:val=""/>
            </w:pPr>
            <w:r>
              <w:rPr>
                <w:rStyle w:val=""/>
              </w:rPr>
              <w:t xml:space="preserve">12.03.2024 18:00:00</w:t>
            </w:r>
          </w:p>
        </w:tc>
      </w:tr>
      <w:tr>
        <w:trPr/>
        <w:tc>
          <w:tcPr>
            <w:tcW w:w="4000" w:type="dxa"/>
            <w:vAlign w:val="center"/>
          </w:tcPr>
          <w:p>
            <w:pPr>
              <w:pStyle w:val=""/>
            </w:pPr>
            <w:r>
              <w:rPr>
                <w:rStyle w:val=""/>
              </w:rPr>
              <w:t xml:space="preserve">Номер лота:</w:t>
            </w:r>
          </w:p>
        </w:tc>
        <w:tc>
          <w:tcPr>
            <w:tcW w:w="6000" w:type="dxa"/>
            <w:vAlign w:val="center"/>
          </w:tcPr>
          <w:p>
            <w:pPr>
              <w:pStyle w:val=""/>
            </w:pPr>
            <w:r>
              <w:rPr>
                <w:rStyle w:val=""/>
              </w:rPr>
              <w:t xml:space="preserve">2</w:t>
            </w:r>
          </w:p>
        </w:tc>
      </w:tr>
      <w:tr>
        <w:trPr/>
        <w:tc>
          <w:tcPr>
            <w:tcW w:w="4000" w:type="dxa"/>
            <w:vAlign w:val="center"/>
          </w:tcPr>
          <w:p>
            <w:pPr>
              <w:pStyle w:val=""/>
            </w:pPr>
            <w:r>
              <w:rPr>
                <w:rStyle w:val=""/>
              </w:rPr>
              <w:t xml:space="preserve">Сведения об имуществе:</w:t>
            </w:r>
          </w:p>
        </w:tc>
        <w:tc>
          <w:tcPr>
            <w:tcW w:w="6000" w:type="dxa"/>
            <w:vAlign w:val="center"/>
          </w:tcPr>
          <w:p>
            <w:pPr>
              <w:pStyle w:val=""/>
            </w:pPr>
            <w:r>
              <w:rPr>
                <w:rStyle w:val=""/>
              </w:rPr>
              <w:t xml:space="preserve">состав лота:1 Прицеп вагон-дом передвижной модели Спутник-1-42 Прицеп вагон-дом передвижной модули Спутник-2Н - Туалет3 Прицеп лаборатория СЗАП-83054 Прицеп тракторный-вагон-дом передвижной Спутник-15 Прицеп тракторный-вагон-дом передвижной Спутник-16 Прицеп тракторный-вагон-дом передвижной Спутник-17 Прицеп тракторный-вагон-дом передвижной Спутник-18 Прицеп-здание мобильное Екатерина мод. МА4744 сауна на 4 места9 Прицеп-здание мобильное Екатерина на 8 чел.10 Прицеп-здание мобильное Екатерина на 8 человек11 Прицеп-здание мобильное Екатерина на 8 чел.12 Прицеп-здание мобильное Комфорт С (жилое на 8 чел.)13 Прицеп-здание мобильное Комфорт С (жилое на 8 чел.)14 Прицеп-здание мобильное Комфорт С (жилое на 8 чел.)15 Прицеп-здание мобильное Комфорт С (жилое на 8 чел.)16 Прицеп-здание мобильное Комфорт С (Прорабская)17 Прицеп-здание мобильное Комфорт С Душевая18 Прицеп-здание мобильное Комфорт С жилое на 8 чел.19 Тахеометр Sokkia FX-101</w:t>
            </w:r>
          </w:p>
        </w:tc>
      </w:tr>
      <w:tr>
        <w:trPr/>
        <w:tc>
          <w:tcPr>
            <w:tcW w:w="4000" w:type="dxa"/>
            <w:vAlign w:val="center"/>
          </w:tcPr>
          <w:p>
            <w:pPr>
              <w:pStyle w:val=""/>
            </w:pPr>
            <w:r>
              <w:rPr>
                <w:rStyle w:val=""/>
              </w:rPr>
              <w:t xml:space="preserve">Стартовая цена продажи имущества:</w:t>
            </w:r>
          </w:p>
        </w:tc>
        <w:tc>
          <w:tcPr>
            <w:tcW w:w="6000" w:type="dxa"/>
            <w:vAlign w:val="center"/>
          </w:tcPr>
          <w:p>
            <w:pPr>
              <w:pStyle w:val=""/>
            </w:pPr>
            <w:r>
              <w:rPr>
                <w:rStyle w:val=""/>
              </w:rPr>
              <w:t xml:space="preserve">2 850 000.00</w:t>
            </w:r>
          </w:p>
        </w:tc>
      </w:tr>
      <w:tr>
        <w:trPr/>
        <w:tc>
          <w:tcPr>
            <w:tcW w:w="4000" w:type="dxa"/>
            <w:vAlign w:val="center"/>
          </w:tcPr>
          <w:p>
            <w:pPr>
              <w:pStyle w:val=""/>
            </w:pPr>
            <w:r>
              <w:rPr>
                <w:rStyle w:val=""/>
              </w:rPr>
              <w:t xml:space="preserve">Порядок и критерии определения победителя торгов:</w:t>
            </w:r>
          </w:p>
        </w:tc>
        <w:tc>
          <w:tcPr>
            <w:tcW w:w="6000" w:type="dxa"/>
            <w:vAlign w:val="center"/>
          </w:tcPr>
          <w:p>
            <w:pPr>
              <w:pStyle w:val=""/>
            </w:pPr>
            <w:r>
              <w:rPr>
                <w:rStyle w:val=""/>
              </w:rPr>
              <w:t xml:space="preserve">Право приобретения имущества должника принадлежит участнику торгов по продаже имущества должника посредством публичного предложения,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имущество.В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предложения.С даты определения победителя торгов по продаже имущества должника посредством публичного предложения прием заявок прекращается. При участии в торгах посредством публичного предложения заявитель обязан обеспечить поступление задатка на счета, указанные в электронном сообщении о продаже, не позднее указанной в таком сообщении даты и времени окончания приема заявок на участие в торгах для соответствующего периода проведения торгов.Заявки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w:t>
            </w:r>
          </w:p>
        </w:tc>
      </w:tr>
      <w:tr>
        <w:trPr/>
        <w:tc>
          <w:tcPr>
            <w:tcW w:w="10000" w:type="dxa"/>
            <w:vAlign w:val="center"/>
            <w:gridSpan w:val="2"/>
          </w:tcPr>
          <w:p/>
        </w:tc>
      </w:tr>
      <w:tr>
        <w:trPr/>
        <w:tc>
          <w:tcPr>
            <w:tcW w:w="10000" w:type="dxa"/>
            <w:vAlign w:val="center"/>
            <w:gridSpan w:val="2"/>
          </w:tcPr>
          <w:p>
            <w:pPr>
              <w:pStyle w:val=""/>
            </w:pPr>
            <w:r>
              <w:rPr>
                <w:rStyle w:val="table_header"/>
              </w:rPr>
              <w:t xml:space="preserve">Интервалы снижения для лота</w:t>
            </w:r>
          </w:p>
        </w:tc>
      </w:tr>
      <w:tr>
        <w:trPr/>
        <w:tc>
          <w:tcPr>
            <w:tcW w:w="10000" w:type="dxa"/>
            <w:vAlign w:val="center"/>
            <w:gridSpan w:val="2"/>
          </w:tcPr>
          <w:tbl>
            <w:tblGrid>
              <w:gridCol w:w="4000" w:type="dxa"/>
              <w:gridCol w:w="4000" w:type="dxa"/>
              <w:gridCol w:w="4000" w:type="dxa"/>
              <w:gridCol w:w="4000" w:type="dxa"/>
            </w:tblGrid>
            <w:tblPr>
              <w:tblStyle w:val="border"/>
            </w:tblPr>
            <w:tr>
              <w:trPr/>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Начало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Окончание приема заявок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Задаток на интервале</w:t>
                  </w:r>
                </w:p>
              </w:tc>
              <w:tc>
                <w:tcPr>
                  <w:tcW w:w="4000" w:type="dxa"/>
                  <w:vAlign w:val="center"/>
                  <w:tcBorders>
                    <w:top w:val="single" w:sz="1" w:color="ffffff"/>
                    <w:left w:val="single" w:sz="1" w:color="ffffff"/>
                    <w:right w:val="single" w:sz="1" w:color="ffffff"/>
                    <w:bottom w:val="single" w:sz="1" w:color="ffffff"/>
                  </w:tcBorders>
                  <w:shd w:val="clear" w:color="" w:fill="cdd1da"/>
                </w:tcPr>
                <w:p>
                  <w:pPr>
                    <w:pStyle w:val=""/>
                  </w:pPr>
                  <w:r>
                    <w:rPr>
                      <w:rStyle w:val=""/>
                    </w:rPr>
                    <w:t xml:space="preserve">Цена на интервале</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07.02.2024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11.02.2024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285 000.00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2 850 000.00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16.02.2024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270 750.00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2 707 500.00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17.02.2024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21.02.2024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257 212.50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2 572 125.00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26.02.2024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244 351.00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2 443 519.00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27.02.2024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02.03.2024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232 134.00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2 321 343.00</w:t>
                  </w:r>
                </w:p>
              </w:tc>
            </w:tr>
            <w:tr>
              <w:trPr/>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03.03.2024 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12.03.2024 18:00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228 000.00</w:t>
                  </w:r>
                </w:p>
              </w:tc>
              <w:tc>
                <w:tcPr>
                  <w:tcW w:w="4000" w:type="dxa"/>
                  <w:vAlign w:val="center"/>
                  <w:tcBorders>
                    <w:top w:val="single" w:sz="1" w:color="ffffff"/>
                    <w:left w:val="single" w:sz="1" w:color="ffffff"/>
                    <w:right w:val="single" w:sz="1" w:color="ffffff"/>
                    <w:bottom w:val="single" w:sz="1" w:color="ffffff"/>
                  </w:tcBorders>
                </w:tcPr>
                <w:p>
                  <w:pPr>
                    <w:pStyle w:val=""/>
                  </w:pPr>
                  <w:r>
                    <w:rPr>
                      <w:rStyle w:val=""/>
                    </w:rPr>
                    <w:t xml:space="preserve">2 280 000.00</w:t>
                  </w:r>
                </w:p>
              </w:tc>
            </w:tr>
          </w:tbl>
          <w:p/>
        </w:tc>
      </w:tr>
      <w:tr>
        <w:trPr/>
        <w:tc>
          <w:tcPr>
            <w:tcW w:w="10000" w:type="dxa"/>
            <w:vAlign w:val="center"/>
            <w:gridSpan w:val="2"/>
          </w:tcPr>
          <w:p/>
        </w:tc>
      </w:tr>
      <w:tr>
        <w:trPr/>
        <w:tc>
          <w:tcPr>
            <w:tcW w:w="10000" w:type="dxa"/>
            <w:vAlign w:val="center"/>
            <w:gridSpan w:val="2"/>
          </w:tcPr>
          <w:p>
            <w:pPr>
              <w:pStyle w:val=""/>
            </w:pPr>
            <w:r>
              <w:rPr>
                <w:rStyle w:val="table_header"/>
              </w:rPr>
              <w:t xml:space="preserve">Поданные заявки</w:t>
            </w:r>
          </w:p>
        </w:tc>
      </w:tr>
      <w:tr>
        <w:trPr/>
        <w:tc>
          <w:tcPr>
            <w:tcW w:w="10000" w:type="dxa"/>
            <w:vAlign w:val="center"/>
            <w:gridSpan w:val="2"/>
          </w:tcPr>
          <w:p>
            <w:pPr>
              <w:pStyle w:val=""/>
            </w:pPr>
            <w:r>
              <w:rPr>
                <w:rStyle w:val=""/>
              </w:rPr>
              <w:t xml:space="preserve">Заявок не подано</w:t>
            </w:r>
          </w:p>
        </w:tc>
      </w:tr>
      <w:tr>
        <w:trPr/>
        <w:tc>
          <w:tcPr>
            <w:tcW w:w="10000" w:type="dxa"/>
            <w:vAlign w:val="center"/>
            <w:gridSpan w:val="2"/>
          </w:tcPr>
          <w:p/>
        </w:tc>
      </w:tr>
    </w:tbl>
    <w:p>
      <w:pPr>
        <w:pStyle w:val=""/>
      </w:pPr>
      <w:r>
        <w:rPr>
          <w:rStyle w:val=""/>
        </w:rPr>
        <w:t xml:space="preserve"/>
      </w:r>
    </w:p>
    <w:p/>
    <w:p/>
    <w:p>
      <w:pPr>
        <w:pStyle w:val=""/>
      </w:pPr>
      <w:r>
        <w:rPr>
          <w:rStyle w:val=""/>
        </w:rPr>
        <w:t xml:space="preserve">Протокол подписан организатором торгов</w:t>
      </w:r>
    </w:p>
    <w:sectPr>
      <w:pgSz w:orient="portrait" w:w="11870" w:h="16787"/>
      <w:pgMar w:top="850" w:right="850" w:bottom="1440" w:left="8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6"/>
        <w:szCs w:val="26"/>
      </w:rPr>
    </w:rPrDefault>
  </w:docDefaults>
  <w:style w:type="paragraph" w:default="1" w:styleId="Normal">
    <w:name w:val="Normal"/>
    <w:pPr>
      <w:jc w:val="left"/>
      <w:ind w:left="0" w:right="0"/>
      <w:spacing w:after="0"/>
    </w:pPr>
  </w:style>
  <w:style w:type="character" w:styleId="FootnoteReference">
    <w:name w:val="Footnote Reference"/>
    <w:semiHidden/>
    <w:unhideWhenUsed/>
    <w:rPr>
      <w:vertAlign w:val="superscript"/>
    </w:rPr>
  </w:style>
  <w:style w:type="paragraph" w:customStyle="1" w:styleId="center">
    <w:name w:val="center"/>
    <w:basedOn w:val="Normal"/>
    <w:pPr>
      <w:jc w:val="center"/>
      <w:spacing w:after="0"/>
    </w:pPr>
  </w:style>
  <w:style w:type="character">
    <w:name w:val="doc_header"/>
    <w:rPr>
      <w:sz w:val="24"/>
      <w:szCs w:val="24"/>
      <w:b/>
      <w:caps/>
    </w:rPr>
  </w:style>
  <w:style w:type="character">
    <w:name w:val="bold"/>
    <w:rPr>
      <w:b/>
    </w:rPr>
  </w:style>
  <w:style w:type="character">
    <w:name w:val="table_header"/>
    <w:rPr>
      <w:color w:val="BE1E2D"/>
    </w:rPr>
  </w:style>
  <w:style w:type="table" w:customStyle="1" w:styleId="noborder">
    <w:name w:val="noborder"/>
    <w:uiPriority w:val="99"/>
    <w:tblPr>
      <w:jc w:val="left"/>
      <w:tblW w:w="100" w:type="auto"/>
      <w:tblCellMar>
        <w:top w:w="10" w:type="dxa"/>
        <w:left w:w="10" w:type="dxa"/>
        <w:right w:w="10" w:type="dxa"/>
        <w:bottom w:w="10" w:type="dxa"/>
      </w:tblCellMar>
    </w:tblPr>
  </w:style>
  <w:style w:type="table" w:customStyle="1" w:styleId="border">
    <w:name w:val="border"/>
    <w:uiPriority w:val="99"/>
    <w:tblPr>
      <w:jc w:val="left"/>
      <w:tblW w:w="100" w:type="auto"/>
      <w:tblCellMar>
        <w:top w:w="50" w:type="dxa"/>
        <w:left w:w="50" w:type="dxa"/>
        <w:right w:w="50" w:type="dxa"/>
        <w:bottom w:w="5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2024-03-14T14:59:15+03:00</dcterms:created>
  <dcterms:modified xsi:type="dcterms:W3CDTF">2024-03-14T14:59:15+03:00</dcterms:modified>
</cp:coreProperties>
</file>

<file path=docProps/custom.xml><?xml version="1.0" encoding="utf-8"?>
<Properties xmlns="http://schemas.openxmlformats.org/officeDocument/2006/custom-properties" xmlns:vt="http://schemas.openxmlformats.org/officeDocument/2006/docPropsVTypes"/>
</file>