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11105-ОТПП/4</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кад. номер: 14:09:140002:1892, 60,8 кв.м., у. Верхоянский, пгт. Батагай, ул. Раковского д. 8 кв. 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382 500.00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72 675.00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363 375.00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68 850.00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344 250.00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65 025.00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325 125.00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57 375.00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286 875.00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53 550.00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267 750.00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49 725.00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248 625.00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229 500.00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42 075.00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210 375.00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191 250.00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