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4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eastAsia="en-US"/>
        </w:rPr>
        <w:t xml:space="preserve">умерш</w:t>
      </w:r>
      <w:r>
        <w:rPr>
          <w:rFonts w:ascii="Times New Roman" w:hAnsi="Times New Roman"/>
          <w:sz w:val="22"/>
        </w:rPr>
        <w:t xml:space="preserve">ей</w:t>
      </w:r>
      <w:r>
        <w:rPr>
          <w:rFonts w:ascii="Times New Roman" w:hAnsi="Times New Roman"/>
          <w:sz w:val="22"/>
          <w:lang w:eastAsia="en-US"/>
        </w:rPr>
        <w:t xml:space="preserve"> гражданк</w:t>
      </w:r>
      <w:r>
        <w:rPr>
          <w:rFonts w:ascii="Times New Roman" w:hAnsi="Times New Roman"/>
          <w:sz w:val="22"/>
        </w:rPr>
        <w:t xml:space="preserve">и</w:t>
      </w:r>
      <w:r>
        <w:rPr>
          <w:rFonts w:ascii="Times New Roman" w:hAnsi="Times New Roman"/>
          <w:bCs/>
          <w:sz w:val="22"/>
          <w:lang w:eastAsia="en-US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Моржухина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 Сергея Валентиновича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года №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А82-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22216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/202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3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Моржухина С.В,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 w:line="300" w:lineRule="auto"/>
                    <w:ind w:left="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highlight w:val="none"/>
                    </w:rPr>
                  </w:r>
                  <w:r>
                    <w:rPr>
                      <w:sz w:val="22"/>
                      <w:szCs w:val="22"/>
                    </w:rPr>
                    <w:t xml:space="preserve">К</w:t>
                  </w:r>
                  <w:r>
                    <w:rPr>
                      <w:sz w:val="22"/>
                      <w:szCs w:val="22"/>
                    </w:rPr>
                    <w:t xml:space="preserve">вартира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 xml:space="preserve">жилое, общей площадью 30,4 </w:t>
                  </w:r>
                  <w:r>
                    <w:rPr>
                      <w:sz w:val="22"/>
                      <w:szCs w:val="22"/>
                    </w:rPr>
                    <w:t xml:space="preserve">кв.м</w:t>
                  </w:r>
                  <w:r>
                    <w:rPr>
                      <w:sz w:val="22"/>
                      <w:szCs w:val="22"/>
                    </w:rPr>
                    <w:t xml:space="preserve">., этаж 1, по адресу: Ярославская обл., г. Ярославль, ул. Елены Колесовой, д. 34, кв. 81, с кадастровым номером </w:t>
                  </w:r>
                  <w:r>
                    <w:rPr>
                      <w:sz w:val="22"/>
                      <w:szCs w:val="22"/>
                    </w:rPr>
                    <w:t xml:space="preserve"> 76:23:010101:97513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896"/>
                    <w:pBdr/>
                    <w:spacing/>
                    <w:ind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2"/>
              </w:rPr>
              <w:t xml:space="preserve">2 949000</w:t>
            </w:r>
            <w:r>
              <w:rPr>
                <w:sz w:val="22"/>
              </w:rPr>
              <w:t xml:space="preserve"> руб.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</w:t>
      </w:r>
      <w:r>
        <w:rPr>
          <w:color w:val="000000"/>
          <w:sz w:val="22"/>
        </w:rPr>
        <w:t xml:space="preserve">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highlight w:val="none"/>
              </w:rPr>
              <w:t xml:space="preserve">Финансовый управляющий Жуков М.Н</w:t>
            </w:r>
            <w:r>
              <w:rPr>
                <w:b/>
                <w:sz w:val="22"/>
                <w:highlight w:val="none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</w:t>
            </w:r>
            <w:r>
              <w:rPr>
                <w:rStyle w:val="901"/>
                <w:color w:val="333333"/>
                <w:sz w:val="22"/>
              </w:rPr>
              <w:t xml:space="preserve"> </w:t>
            </w:r>
            <w:r>
              <w:rPr>
                <w:rStyle w:val="901"/>
                <w:color w:val="333333"/>
                <w:sz w:val="22"/>
              </w:rPr>
              <w:t xml:space="preserve">Моржухин Сергей Валентинович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40817.810.5.7703.1288250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vi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А82-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22216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>
                <w:left w:val="vine" w:color="000000" w:sz="4" w:space="0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2024-10-24T14:16:04Z</dcterms:modified>
</cp:coreProperties>
</file>