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1EBB0A97" w:rsidR="00972D1A" w:rsidRDefault="00C0656C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312B80">
        <w:rPr>
          <w:rFonts w:ascii="Times New Roman" w:hAnsi="Times New Roman" w:cs="Times New Roman"/>
        </w:rPr>
        <w:t xml:space="preserve"> </w:t>
      </w:r>
      <w:proofErr w:type="spellStart"/>
      <w:r w:rsidR="00191B9A">
        <w:rPr>
          <w:rFonts w:ascii="Times New Roman" w:hAnsi="Times New Roman" w:cs="Times New Roman"/>
        </w:rPr>
        <w:t>Толзовской</w:t>
      </w:r>
      <w:proofErr w:type="spellEnd"/>
      <w:r w:rsidR="00191B9A">
        <w:rPr>
          <w:rFonts w:ascii="Times New Roman" w:hAnsi="Times New Roman" w:cs="Times New Roman"/>
        </w:rPr>
        <w:t xml:space="preserve"> Натальи Александровны</w:t>
      </w:r>
      <w:r w:rsidR="00972D1A" w:rsidRPr="00694657">
        <w:rPr>
          <w:rFonts w:ascii="Times New Roman" w:hAnsi="Times New Roman" w:cs="Times New Roman"/>
        </w:rPr>
        <w:t>,</w:t>
      </w:r>
      <w:r w:rsidR="00FB1726">
        <w:rPr>
          <w:rFonts w:ascii="Times New Roman" w:hAnsi="Times New Roman" w:cs="Times New Roman"/>
        </w:rPr>
        <w:t xml:space="preserve"> финансовый управляющий Шестаков Владислав Алек</w:t>
      </w:r>
      <w:r w:rsidR="00191B9A">
        <w:rPr>
          <w:rFonts w:ascii="Times New Roman" w:hAnsi="Times New Roman" w:cs="Times New Roman"/>
        </w:rPr>
        <w:t>са</w:t>
      </w:r>
      <w:r w:rsidR="00FB1726">
        <w:rPr>
          <w:rFonts w:ascii="Times New Roman" w:hAnsi="Times New Roman" w:cs="Times New Roman"/>
        </w:rPr>
        <w:t>ндрович</w:t>
      </w:r>
      <w:r>
        <w:rPr>
          <w:rFonts w:ascii="Times New Roman" w:hAnsi="Times New Roman" w:cs="Times New Roman"/>
        </w:rPr>
        <w:t xml:space="preserve">, 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="00972D1A" w:rsidRPr="00694657">
        <w:rPr>
          <w:rFonts w:ascii="Times New Roman" w:hAnsi="Times New Roman" w:cs="Times New Roman"/>
        </w:rPr>
        <w:t>настоящий</w:t>
      </w:r>
      <w:proofErr w:type="spellEnd"/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1A13C2B4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</w:t>
      </w:r>
      <w:r w:rsidR="00FB1726">
        <w:rPr>
          <w:rFonts w:ascii="Times New Roman" w:hAnsi="Times New Roman" w:cs="Times New Roman"/>
        </w:rPr>
        <w:t xml:space="preserve">с </w:t>
      </w:r>
      <w:r w:rsidR="00FB1726" w:rsidRPr="00FB1726">
        <w:rPr>
          <w:rFonts w:ascii="Times New Roman" w:hAnsi="Times New Roman" w:cs="Times New Roman"/>
        </w:rPr>
        <w:t>№ 408178810238117293495 открытом в ПАО Сбербанк, к/c 30101810400000000225, БИК 044525225</w:t>
      </w:r>
      <w:r w:rsidR="00FB1726">
        <w:rPr>
          <w:rFonts w:ascii="Times New Roman" w:hAnsi="Times New Roman" w:cs="Times New Roman"/>
        </w:rPr>
        <w:t>.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1587D1A9" w:rsidR="001736E5" w:rsidRPr="00A02016" w:rsidRDefault="00FB1726" w:rsidP="00027D2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44C55026" w14:textId="77777777" w:rsidR="001736E5" w:rsidRPr="00A02016" w:rsidRDefault="001736E5" w:rsidP="00FB172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34572571">
    <w:abstractNumId w:val="0"/>
  </w:num>
  <w:num w:numId="2" w16cid:durableId="91844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91B9A"/>
    <w:rsid w:val="001D39F5"/>
    <w:rsid w:val="0021238A"/>
    <w:rsid w:val="00264360"/>
    <w:rsid w:val="002C34F8"/>
    <w:rsid w:val="002D1DF5"/>
    <w:rsid w:val="00312B80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56450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B1726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Искра Шубина</cp:lastModifiedBy>
  <cp:revision>2</cp:revision>
  <cp:lastPrinted>2017-11-03T08:47:00Z</cp:lastPrinted>
  <dcterms:created xsi:type="dcterms:W3CDTF">2024-03-21T08:34:00Z</dcterms:created>
  <dcterms:modified xsi:type="dcterms:W3CDTF">2024-03-21T08:34:00Z</dcterms:modified>
</cp:coreProperties>
</file>