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firstLine="0"/>
        <w:spacing w:before="0" w:after="0" w:line="240" w:lineRule="auto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>Проект договора о задатке</w:t>
      </w:r>
    </w:p>
    <w:p>
      <w:pPr>
        <w:jc w:val="both"/>
        <w:ind w:left="0" w:right="0" w:firstLine="0"/>
        <w:spacing w:before="0" w:after="0" w:line="240" w:lineRule="auto"/>
      </w:pPr>
      <w:pP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</w:pPr>
    </w:p>
    <w:tbl>
      <w:tblGrid>
        <w:gridCol w:w="7000" w:type="dxa"/>
        <w:gridCol w:w="8100" w:type="dxa"/>
      </w:tblGrid>
      <w:tblPr>
        <w:jc w:val="center"/>
        <w:tblW w:w="5000" w:type="auto"/>
        <w:tblLayout w:type="autofit"/>
        <w:tblBorders>
          <w:top w:val="single" w:sz="0"/>
          <w:left w:val="single" w:sz="0"/>
          <w:right w:val="single" w:sz="0"/>
          <w:bottom w:val="single" w:sz="0"/>
        </w:tblBorders>
      </w:tblPr>
      <w:tr>
        <w:trPr/>
        <w:tc>
          <w:tcPr>
            <w:tcW w:w="7000" w:type="dxa"/>
            <w:vAlign w:val="center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Краснодар</w:t>
            </w:r>
          </w:p>
        </w:tc>
        <w:tc>
          <w:tcPr>
            <w:tcW w:w="8100" w:type="dxa"/>
            <w:vAlign w:val="center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righ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__ __________ ____ г.</w:t>
            </w:r>
          </w:p>
        </w:tc>
      </w:tr>
    </w:tbl>
    <w:p>
      <w:pPr>
        <w:jc w:val="both"/>
        <w:ind w:left="0" w:right="0" w:firstLine="0"/>
        <w:spacing w:before="0" w:after="0" w:line="240" w:lineRule="auto"/>
      </w:pPr>
      <w:pP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</w:pPr>
    </w:p>
    <w:p>
      <w:pPr>
        <w:jc w:val="both"/>
        <w:ind w:left="0" w:right="0" w:firstLine="425"/>
        <w:spacing w:before="0" w:after="0" w:line="260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Конкурсный управляющий ООО "АФАСТ" Осипов Андрей Анатольевич, именуемый в дальнейшем «Организатор торгов», действующий на основании решения Арбитражного суда города Москвы от 15.01.2024 г. по делу №А40-236090/2022, с одной стороны, и ________, именуемое (-ый, -ая) далее «Претендент», с другой стороны, вместе именуемые «Стороны», заключили настоящий договор о нижеследующем:</w:t>
      </w:r>
    </w:p>
    <w:p>
      <w:pPr>
        <w:jc w:val="center"/>
        <w:spacing w:before="120" w:after="60"/>
        <w:numPr>
          <w:ilvl w:val="0"/>
          <w:numId w:val="1"/>
        </w:numPr>
      </w:pPr>
      <w:r>
        <w:rPr>
          <w:b w:val="1"/>
          <w:bCs w:val="1"/>
        </w:rPr>
        <w:t xml:space="preserve">Предмет договора</w:t>
      </w:r>
    </w:p>
    <w:p>
      <w:pPr>
        <w:jc w:val="both"/>
        <w:spacing w:after="0"/>
        <w:numPr>
          <w:ilvl w:val="1"/>
          <w:numId w:val="1"/>
        </w:numPr>
      </w:pPr>
      <w:r>
        <w:rPr/>
        <w:t>В подтверждение своего намерения принять участие в открытых торгах в форме публичного предложения по продаже имущества ООО "АФАСТ" по лоту (лотам) № ______ включающему в себя следующее имущество: ______________, проводимых в порядке и на условиях, указанных в извещении о проведении торгов (далее - Извещение), Претендент в соответствии с п. 4 ст. 448 ГК РФ и Положением о порядке, сроках и условиях продажи имущества должника ООО "АФАСТ", вносит в качестве обеспечения оплаты приобретаемого на торгах имущества задаток, а Организатор торгов обязуется принять данный задаток.</w:t>
      </w:r>
    </w:p>
    <w:p>
      <w:pPr>
        <w:jc w:val="both"/>
        <w:spacing w:after="0"/>
        <w:numPr>
          <w:ilvl w:val="1"/>
          <w:numId w:val="1"/>
        </w:numPr>
      </w:pPr>
      <w:r>
        <w:rPr/>
        <w:t>Задаток вносится в сумме ______________ руб., что составляет 10% от цены имущества, установленной для соответствующего периода публичного предложения (цена на этапе публичного предложения - ______________ руб.).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пункте 1.1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>
      <w:pPr>
        <w:jc w:val="center"/>
        <w:spacing w:before="120" w:after="60"/>
        <w:numPr>
          <w:ilvl w:val="0"/>
          <w:numId w:val="1"/>
        </w:numPr>
      </w:pPr>
      <w:r>
        <w:rPr>
          <w:b w:val="1"/>
          <w:bCs w:val="1"/>
        </w:rPr>
        <w:t xml:space="preserve">Порядок внесения задатка</w:t>
      </w:r>
    </w:p>
    <w:p>
      <w:pPr>
        <w:jc w:val="both"/>
        <w:spacing w:after="0"/>
        <w:numPr>
          <w:ilvl w:val="1"/>
          <w:numId w:val="1"/>
        </w:numPr>
      </w:pPr>
      <w:r>
        <w:rPr/>
        <w:t>Задаток должен поступить до окончания приема заявок соответствующего периода публичного предложения. Прием заявок проводится с 07.12.2026 в 12:00 до 22.02.2027 в 12:00 (московское время).</w:t>
      </w:r>
    </w:p>
    <w:p>
      <w:pPr>
        <w:jc w:val="both"/>
        <w:spacing w:after="0"/>
        <w:numPr>
          <w:ilvl w:val="1"/>
          <w:numId w:val="1"/>
        </w:numPr>
      </w:pPr>
      <w:r>
        <w:rPr/>
        <w:t>Реквизиты для оплаты задатка: получатель ООО «РУССИА ОнЛайн», ИНН 7715401966, КПП 773001001, расчетный счет 40702810500000149166 в Филиале «ЦЕНТРАЛЬНЫЙ» Банка ВТБ (ПАО), г. Москва, БИК 044525411, корреспондентский счет 30101810145250000411. В назначении платежа указываются «Задаток за участие в торгах № 14494-ОТПП, лот № ___» и наименование Претендента.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На денежные средства, переданные в соответствии с настоящим договором, проценты не начисляются.</w:t>
      </w:r>
    </w:p>
    <w:p>
      <w:pPr>
        <w:jc w:val="center"/>
        <w:spacing w:before="120" w:after="60"/>
        <w:numPr>
          <w:ilvl w:val="0"/>
          <w:numId w:val="1"/>
        </w:numPr>
      </w:pPr>
      <w:r>
        <w:rPr>
          <w:b w:val="1"/>
          <w:bCs w:val="1"/>
        </w:rPr>
        <w:t xml:space="preserve">Порядок возврата и удержания задатка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>
      <w:pPr>
        <w:jc w:val="both"/>
        <w:spacing w:after="0"/>
        <w:numPr>
          <w:ilvl w:val="1"/>
          <w:numId w:val="1"/>
        </w:numPr>
      </w:pPr>
      <w:r>
        <w:rPr/>
        <w:t>Задаток возвращается в течение пяти рабочих дней со дня подписания протокола о результатах проведения торгов, в случае:</w:t>
      </w:r>
    </w:p>
    <w:p>
      <w:pPr>
        <w:jc w:val="both"/>
        <w:spacing w:after="0"/>
        <w:numPr>
          <w:ilvl w:val="2"/>
          <w:numId w:val="1"/>
        </w:numPr>
      </w:pPr>
      <w:r>
        <w:rPr/>
        <w:t>Недопуска Претендента к участию в торгах.</w:t>
      </w:r>
    </w:p>
    <w:p>
      <w:pPr>
        <w:jc w:val="both"/>
        <w:spacing w:after="0"/>
        <w:numPr>
          <w:ilvl w:val="2"/>
          <w:numId w:val="1"/>
        </w:numPr>
      </w:pPr>
      <w:r>
        <w:rPr/>
        <w:t xml:space="preserve">Непризнания Участника торгов Победителем торгов.</w:t>
      </w:r>
    </w:p>
    <w:p>
      <w:pPr>
        <w:jc w:val="both"/>
        <w:spacing w:after="0"/>
        <w:numPr>
          <w:ilvl w:val="2"/>
          <w:numId w:val="1"/>
        </w:numPr>
      </w:pPr>
      <w:r>
        <w:rPr/>
        <w:t xml:space="preserve">Отзыва Претендентом заявки на участие в торгах, до момента приобретения им статуса участника торгов.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Задаток не возвращается в случае:</w:t>
      </w:r>
    </w:p>
    <w:p>
      <w:pPr>
        <w:jc w:val="both"/>
        <w:spacing w:after="0"/>
        <w:numPr>
          <w:ilvl w:val="2"/>
          <w:numId w:val="1"/>
        </w:numPr>
      </w:pPr>
      <w:r>
        <w:rPr/>
        <w:t>Претендент, не отозвав в установленном порядке заявку, не явился для участия в аукционе в месте и во время, указанные в информационном сообщении (пункт 12 Положения о торгах).</w:t>
      </w:r>
    </w:p>
    <w:p>
      <w:pPr>
        <w:jc w:val="both"/>
        <w:spacing w:after="0"/>
        <w:numPr>
          <w:ilvl w:val="2"/>
          <w:numId w:val="1"/>
        </w:numPr>
      </w:pPr>
      <w:r>
        <w:rPr/>
        <w:t xml:space="preserve">Отказа или уклонения Победителя торгов от подписания Протокола о ходе и результатах торгов.</w:t>
      </w:r>
    </w:p>
    <w:p>
      <w:pPr>
        <w:jc w:val="both"/>
        <w:spacing w:after="0"/>
        <w:numPr>
          <w:ilvl w:val="2"/>
          <w:numId w:val="1"/>
        </w:numPr>
      </w:pPr>
      <w:r>
        <w:rPr/>
        <w:t>Отказа или уклонения Победителя торгов от подписания договора уступки права требования в течение пяти дней со дня получения предложения конкурсного управляющего о заключении договора.</w:t>
      </w:r>
    </w:p>
    <w:p>
      <w:pPr>
        <w:jc w:val="both"/>
        <w:spacing w:after="0"/>
        <w:numPr>
          <w:ilvl w:val="2"/>
          <w:numId w:val="1"/>
        </w:numPr>
      </w:pPr>
      <w:r>
        <w:rPr/>
        <w:t>Нарушения Победителем торгов установленных сроков полной оплаты или приема имущества более чем на 10 (десять) дней согласно пункту 12 Положения о торгах.</w:t>
      </w:r>
    </w:p>
    <w:p>
      <w:pPr>
        <w:jc w:val="center"/>
        <w:spacing w:before="120" w:after="60"/>
        <w:numPr>
          <w:ilvl w:val="0"/>
          <w:numId w:val="1"/>
        </w:numPr>
      </w:pPr>
      <w:r>
        <w:rPr>
          <w:b w:val="1"/>
          <w:bCs w:val="1"/>
        </w:rPr>
        <w:t xml:space="preserve">Иные условия</w:t>
      </w:r>
    </w:p>
    <w:p>
      <w:pPr>
        <w:jc w:val="both"/>
        <w:spacing w:after="0"/>
        <w:numPr>
          <w:ilvl w:val="1"/>
          <w:numId w:val="1"/>
        </w:numPr>
      </w:pPr>
      <w:r>
        <w:rPr/>
        <w:t>Настоящий договор вступает в силу с момента его подписания сторонами либо акцепта Претендентом путем перечисления задатка в соответствии с сообщением о продаже и прекращает свое действие после исполнения Сторонами всех обязательств по нему.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Споры, возникшие в результате действия настоящего договора, разрешаются в установленном порядке в Арбитражном суде города Москвы.</w:t>
      </w:r>
    </w:p>
    <w:p>
      <w:pPr>
        <w:jc w:val="both"/>
        <w:spacing w:after="0"/>
        <w:numPr>
          <w:ilvl w:val="1"/>
          <w:numId w:val="1"/>
        </w:numPr>
      </w:pPr>
      <w:r>
        <w:rPr/>
        <w:t xml:space="preserve">Настоящий Договор составлен в 2 (двух) экземплярах, имеющих одинаковую юридическую силу, по одному для каждой из Сторон.</w:t>
      </w:r>
    </w:p>
    <w:p>
      <w:pPr>
        <w:jc w:val="center"/>
        <w:spacing w:before="120" w:after="60"/>
        <w:numPr>
          <w:ilvl w:val="0"/>
          <w:numId w:val="1"/>
        </w:numPr>
      </w:pPr>
      <w:r>
        <w:rPr>
          <w:b w:val="1"/>
          <w:bCs w:val="1"/>
        </w:rPr>
        <w:t xml:space="preserve">Реквизиты и подписи Сторон</w:t>
      </w:r>
    </w:p>
    <w:p>
      <w:pPr>
        <w:jc w:val="both"/>
        <w:ind w:left="0" w:right="0" w:firstLine="0"/>
        <w:spacing w:before="0" w:after="0" w:line="240" w:lineRule="auto"/>
      </w:pPr>
      <w:pPr>
        <w:rPr>
          <w:rFonts w:ascii="Times New Roman" w:hAnsi="Times New Roman" w:eastAsia="Times New Roman" w:cs="Times New Roman"/>
          <w:sz w:val="20"/>
          <w:szCs w:val="20"/>
          <w:b w:val="0"/>
          <w:bCs w:val="0"/>
        </w:rPr>
      </w:pPr>
    </w:p>
    <w:tbl>
      <w:tblGrid>
        <w:gridCol w:w="4678" w:type="dxa"/>
        <w:gridCol w:w="4678" w:type="dxa"/>
      </w:tblGrid>
      <w:tblPr>
        <w:jc w:val="center"/>
        <w:tblW w:w="5000" w:type="auto"/>
        <w:tblLayout w:type="autofit"/>
        <w:tblBorders>
          <w:top w:val="single" w:sz="0"/>
          <w:left w:val="single" w:sz="0"/>
          <w:right w:val="single" w:sz="0"/>
          <w:bottom w:val="single" w:sz="0"/>
        </w:tblBorders>
      </w:tblPr>
      <w:tr>
        <w:trPr/>
        <w:tc>
          <w:tcPr>
            <w:tcW w:w="4678" w:type="dxa"/>
            <w:vAlign w:val="top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  <w:u w:val="single"/>
              </w:rPr>
              <w:t xml:space="preserve">Организатор торгов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ООО "АФАСТ"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>ИНН: 7726413508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>ОГРН: 5177746046418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>Адрес: 115230, г. Москва, Электролитный проезд, д. 3, стр. 2, этаж 05, комната 12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>Задаток перечисляется по реквизитам пункта 2.2 настоящего договора.</w:t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</w:r>
          </w:p>
        </w:tc>
        <w:tc>
          <w:tcPr>
            <w:tcW w:w="4678" w:type="dxa"/>
            <w:vAlign w:val="top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>Претендент</w:t>
            </w:r>
          </w:p>
        </w:tc>
      </w:tr>
      <w:tr>
        <w:trPr/>
        <w:tc>
          <w:tcPr>
            <w:tcW w:w="4678" w:type="dxa"/>
            <w:vAlign w:val="top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/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/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>______________ / Осипов Андрей Анатольевич /</w:t>
            </w:r>
          </w:p>
        </w:tc>
        <w:tc>
          <w:tcPr>
            <w:tcW w:w="4678" w:type="dxa"/>
            <w:vAlign w:val="top"/>
            <w:tcBorders>
              <w:top w:val="none" w:sz="0" w:color="000000"/>
              <w:left w:val="none" w:sz="0" w:color="000000"/>
              <w:right w:val="none" w:sz="0" w:color="000000"/>
              <w:bottom w:val="none" w:sz="0" w:color="000000"/>
            </w:tcBorders>
            <w:noWrap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/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/>
            </w:r>
          </w:p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0"/>
                <w:bCs w:val="0"/>
              </w:rPr>
              <w:t xml:space="preserve">______________ /  /</w:t>
            </w:r>
          </w:p>
        </w:tc>
      </w:tr>
    </w:tbl>
    <w:sectPr>
      <w:pgSz w:orient="portrait" w:w="11905.511811023622" w:h="16837.79527559055"/>
      <w:pgMar w:top="1135" w:right="850" w:bottom="1135" w:left="170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B1FA9"/>
    <w:multiLevelType w:val="multilevel"/>
    <w:lvl w:ilvl="0">
      <w:start w:val="1"/>
      <w:numFmt w:val="decimal"/>
      <w:suff w:val="tab"/>
      <w:lvlText w:val="%1."/>
      <w:pPr>
        <w:tabs>
          <w:tab w:val="num" w:pos="285"/>
        </w:tabs>
        <w:ind w:left="0" w:hanging="0"/>
      </w:pPr>
      <w:rPr>
        <w:rFonts/>
      </w:rPr>
    </w:lvl>
    <w:lvl w:ilvl="1">
      <w:start w:val="1"/>
      <w:numFmt w:val="decimal"/>
      <w:suff w:val="tab"/>
      <w:lvlText w:val="%1.%2."/>
      <w:pPr>
        <w:tabs>
          <w:tab w:val="num" w:pos="960"/>
        </w:tabs>
        <w:ind w:left="0" w:hanging="-430"/>
      </w:pPr>
      <w:rPr>
        <w:rFonts/>
      </w:rPr>
    </w:lvl>
    <w:lvl w:ilvl="2">
      <w:start w:val="1"/>
      <w:numFmt w:val="decimal"/>
      <w:suff w:val="tab"/>
      <w:lvlText w:val="%1.%2.%3."/>
      <w:pPr>
        <w:tabs>
          <w:tab w:val="num" w:pos="1135"/>
        </w:tabs>
        <w:ind w:left="0" w:hanging="-43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2026-10-20T12:00:44+00:00</dcterms:created>
  <dcterms:modified xsi:type="dcterms:W3CDTF">2026-10-20T12:00:44+00:00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