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AFFE" w14:textId="77777777" w:rsidR="00084FBA" w:rsidRPr="00A85399" w:rsidRDefault="00084FBA" w:rsidP="00084FBA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631E9816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27BD64A7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27CB1A49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084FBA" w:rsidRPr="00A85399" w14:paraId="3AFB2B2C" w14:textId="77777777" w:rsidTr="00DE0F20">
        <w:trPr>
          <w:trHeight w:val="417"/>
        </w:trPr>
        <w:tc>
          <w:tcPr>
            <w:tcW w:w="4808" w:type="dxa"/>
          </w:tcPr>
          <w:p w14:paraId="35BC1E2A" w14:textId="77777777" w:rsidR="00084FBA" w:rsidRPr="00A85399" w:rsidRDefault="00084FBA" w:rsidP="00DE0F20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0CDDFB37" w14:textId="77777777" w:rsidR="00084FBA" w:rsidRPr="00A85399" w:rsidRDefault="00084FBA" w:rsidP="00DE0F20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 w:rsidRPr="00A85399"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 w:rsidRPr="00A85399"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50B407AE" w14:textId="77777777" w:rsidR="00084FBA" w:rsidRPr="00A85399" w:rsidRDefault="00084FBA" w:rsidP="00084FBA">
      <w:pPr>
        <w:ind w:firstLine="720"/>
        <w:jc w:val="both"/>
        <w:rPr>
          <w:noProof/>
          <w:sz w:val="22"/>
          <w:szCs w:val="22"/>
        </w:rPr>
      </w:pPr>
    </w:p>
    <w:p w14:paraId="2597901B" w14:textId="77777777" w:rsidR="00084FBA" w:rsidRPr="00A85399" w:rsidRDefault="00084FBA" w:rsidP="00084FBA">
      <w:pPr>
        <w:ind w:firstLine="720"/>
        <w:jc w:val="both"/>
        <w:rPr>
          <w:noProof/>
          <w:sz w:val="22"/>
          <w:szCs w:val="22"/>
        </w:rPr>
      </w:pPr>
    </w:p>
    <w:p w14:paraId="428012E2" w14:textId="366E7510" w:rsidR="00084FBA" w:rsidRPr="00C55EEE" w:rsidRDefault="00E47699" w:rsidP="00084FBA">
      <w:pPr>
        <w:pStyle w:val="a3"/>
        <w:ind w:left="0" w:firstLine="567"/>
        <w:jc w:val="both"/>
        <w:rPr>
          <w:b/>
          <w:sz w:val="22"/>
          <w:szCs w:val="22"/>
        </w:rPr>
      </w:pPr>
      <w:r w:rsidRPr="00E47699">
        <w:rPr>
          <w:noProof/>
          <w:sz w:val="22"/>
          <w:szCs w:val="22"/>
        </w:rPr>
        <w:t>Фелиферов Александр Алексеевич (дата рождения: 18.07.1995 г., место рождения: с. Владимировка Пугачевского района Саратовской области, СНИЛС 161-991-476 98, ИНН 644508388248, адрес регистрации по месту жительства: 413702, Саратовская область, Пугачевский р-н, с. Красная Речка, ул. Кутякова, д. 102), именуемый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11.06.2025 г. (рез. часть объявлена 10.06.2025) по делу № А57-5777/2025, с одной стороны, и «_____», именуемый в дальнейшем «Покупатель», с другой стороны, заключили настоящий договор о нижеследующем</w:t>
      </w:r>
      <w:r w:rsidR="00084FBA" w:rsidRPr="00F976F2">
        <w:rPr>
          <w:noProof/>
          <w:sz w:val="22"/>
          <w:szCs w:val="22"/>
        </w:rPr>
        <w:t>:</w:t>
      </w:r>
    </w:p>
    <w:p w14:paraId="46612EFC" w14:textId="77777777" w:rsidR="00084FBA" w:rsidRPr="00A85399" w:rsidRDefault="00084FBA" w:rsidP="00084FBA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19544CF2" w14:textId="77777777" w:rsidR="00084FBA" w:rsidRPr="00A85399" w:rsidRDefault="00084FBA" w:rsidP="00084FBA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069C7320" w14:textId="77777777" w:rsidR="00E47699" w:rsidRDefault="00084FBA" w:rsidP="00E47699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20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3F01A3">
        <w:rPr>
          <w:bCs/>
          <w:sz w:val="22"/>
          <w:szCs w:val="22"/>
        </w:rPr>
        <w:t xml:space="preserve">Лоту № 1: </w:t>
      </w:r>
    </w:p>
    <w:p w14:paraId="2FC2160E" w14:textId="3CEA611D" w:rsidR="00E47699" w:rsidRPr="007F5C4A" w:rsidRDefault="00E47699" w:rsidP="00E47699">
      <w:pPr>
        <w:tabs>
          <w:tab w:val="left" w:pos="4984"/>
        </w:tabs>
        <w:ind w:left="993"/>
        <w:jc w:val="both"/>
        <w:rPr>
          <w:rFonts w:eastAsia="Calibri"/>
          <w:noProof/>
        </w:rPr>
      </w:pPr>
      <w:r w:rsidRPr="007F5C4A">
        <w:rPr>
          <w:rFonts w:eastAsia="Calibri"/>
          <w:noProof/>
        </w:rPr>
        <w:t>1.</w:t>
      </w:r>
      <w:r>
        <w:rPr>
          <w:rFonts w:eastAsia="Calibri"/>
          <w:noProof/>
        </w:rPr>
        <w:t xml:space="preserve"> </w:t>
      </w:r>
      <w:r w:rsidRPr="007F5C4A">
        <w:rPr>
          <w:rFonts w:eastAsia="Calibri"/>
          <w:noProof/>
        </w:rPr>
        <w:t>Здание, кадастровый номер 64:27:050210:107, назначение жилое, местоположение: Саратовская обл, р-н Пугачевский, с Красная Речка, ул Заречная, д 29, площадь 52.9, в собственности</w:t>
      </w:r>
    </w:p>
    <w:p w14:paraId="43D4E862" w14:textId="77777777" w:rsidR="00E47699" w:rsidRPr="007F5C4A" w:rsidRDefault="00E47699" w:rsidP="00E47699">
      <w:pPr>
        <w:tabs>
          <w:tab w:val="left" w:pos="4984"/>
        </w:tabs>
        <w:ind w:left="993"/>
        <w:jc w:val="both"/>
        <w:rPr>
          <w:rFonts w:eastAsia="Calibri"/>
          <w:noProof/>
        </w:rPr>
      </w:pPr>
      <w:r w:rsidRPr="007F5C4A">
        <w:rPr>
          <w:rFonts w:eastAsia="Calibri"/>
          <w:noProof/>
        </w:rPr>
        <w:t>2.</w:t>
      </w:r>
      <w:r>
        <w:rPr>
          <w:rFonts w:eastAsia="Calibri"/>
          <w:noProof/>
        </w:rPr>
        <w:t xml:space="preserve"> </w:t>
      </w:r>
      <w:r w:rsidRPr="007F5C4A">
        <w:rPr>
          <w:rFonts w:eastAsia="Calibri"/>
          <w:noProof/>
        </w:rPr>
        <w:t>Земельный участок, кадастровый номер 64:27:000000:2939, назначение для ведения ЛПХ, местоположение: Саратовская область, р-н Пугачевский, с Красная Речка, ул Заречная, д 29, площадь 2303 кв.м., в собственности</w:t>
      </w:r>
    </w:p>
    <w:p w14:paraId="59E3D483" w14:textId="77777777" w:rsidR="00E47699" w:rsidRDefault="00E47699" w:rsidP="00E47699">
      <w:pPr>
        <w:tabs>
          <w:tab w:val="left" w:pos="4984"/>
        </w:tabs>
        <w:ind w:left="993"/>
        <w:jc w:val="both"/>
        <w:rPr>
          <w:rFonts w:eastAsia="Calibri"/>
          <w:noProof/>
        </w:rPr>
      </w:pPr>
      <w:r w:rsidRPr="007F5C4A">
        <w:rPr>
          <w:rFonts w:eastAsia="Calibri"/>
          <w:noProof/>
        </w:rPr>
        <w:t>3.</w:t>
      </w:r>
      <w:r>
        <w:rPr>
          <w:rFonts w:eastAsia="Calibri"/>
          <w:noProof/>
        </w:rPr>
        <w:t xml:space="preserve"> </w:t>
      </w:r>
      <w:r w:rsidRPr="007F5C4A">
        <w:rPr>
          <w:rFonts w:eastAsia="Calibri"/>
          <w:noProof/>
        </w:rPr>
        <w:t>Земельный участок, кадастровый номер 64:27:050210:25, назначение для ведения ЛПХ, местоположение: Саратовская область, р-н Пугачевский, с Красная Речка, ул Заречная, д 29, участок 1, площадь 530 кв.м., в собственности</w:t>
      </w:r>
      <w:r>
        <w:rPr>
          <w:rFonts w:eastAsia="Calibri"/>
          <w:noProof/>
        </w:rPr>
        <w:t>.</w:t>
      </w:r>
    </w:p>
    <w:p w14:paraId="521899C2" w14:textId="145C886C" w:rsidR="00084FBA" w:rsidRDefault="00084FBA" w:rsidP="00084FB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3F01A3">
        <w:rPr>
          <w:rFonts w:eastAsia="Calibri"/>
          <w:noProof/>
          <w:sz w:val="22"/>
          <w:szCs w:val="22"/>
        </w:rPr>
        <w:t>.</w:t>
      </w:r>
    </w:p>
    <w:p w14:paraId="14CF8A03" w14:textId="77777777" w:rsidR="00084FBA" w:rsidRPr="00BA482A" w:rsidRDefault="00084FBA" w:rsidP="00084FB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78EE4318" w14:textId="77777777" w:rsidR="00084FBA" w:rsidRPr="00A85399" w:rsidRDefault="00084FBA" w:rsidP="00084FBA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6790DDC9" w14:textId="77777777" w:rsidR="00084FBA" w:rsidRPr="00A85399" w:rsidRDefault="00084FBA" w:rsidP="00084FBA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3B9961C7" w14:textId="155C56DC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proofErr w:type="spellStart"/>
      <w:r w:rsidR="00E47699">
        <w:rPr>
          <w:bCs/>
          <w:sz w:val="22"/>
          <w:szCs w:val="22"/>
        </w:rPr>
        <w:t>Фелиферов</w:t>
      </w:r>
      <w:proofErr w:type="spellEnd"/>
      <w:r w:rsidR="00E47699">
        <w:rPr>
          <w:bCs/>
          <w:sz w:val="22"/>
          <w:szCs w:val="22"/>
        </w:rPr>
        <w:t xml:space="preserve"> Александр Алексеевич</w:t>
      </w:r>
      <w:r w:rsidRPr="00C55EEE">
        <w:rPr>
          <w:bCs/>
          <w:sz w:val="22"/>
          <w:szCs w:val="22"/>
        </w:rPr>
        <w:t xml:space="preserve">, р/с </w:t>
      </w:r>
      <w:r w:rsidR="00E47699">
        <w:rPr>
          <w:bCs/>
          <w:sz w:val="22"/>
          <w:szCs w:val="22"/>
        </w:rPr>
        <w:t>40817810556008191287</w:t>
      </w:r>
      <w:r w:rsidRPr="003F01A3">
        <w:rPr>
          <w:bCs/>
          <w:sz w:val="22"/>
          <w:szCs w:val="22"/>
        </w:rPr>
        <w:t>, ПАО "Сбербанк России"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proofErr w:type="spellStart"/>
      <w:r w:rsidR="00E47699">
        <w:rPr>
          <w:sz w:val="22"/>
          <w:szCs w:val="22"/>
        </w:rPr>
        <w:t>Фелиферова</w:t>
      </w:r>
      <w:proofErr w:type="spellEnd"/>
      <w:r w:rsidR="00E47699">
        <w:rPr>
          <w:sz w:val="22"/>
          <w:szCs w:val="22"/>
        </w:rPr>
        <w:t xml:space="preserve"> А.А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0648EF81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3718E408" w14:textId="74A44982" w:rsidR="00084FBA" w:rsidRPr="00A85399" w:rsidRDefault="00084FBA" w:rsidP="00084FBA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14:paraId="50F0DB46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4318FA80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304ED3D2" w14:textId="77777777" w:rsidR="00084FBA" w:rsidRPr="00A85399" w:rsidRDefault="00084FBA" w:rsidP="00084FBA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5B20F887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1AEB39B3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отказа Претендента от заключения договора купли-продажи при признании его победителем </w:t>
      </w:r>
      <w:r w:rsidRPr="00A85399">
        <w:rPr>
          <w:rStyle w:val="paragraph"/>
          <w:sz w:val="22"/>
          <w:szCs w:val="22"/>
        </w:rPr>
        <w:lastRenderedPageBreak/>
        <w:t>торгов или не внесения им платежей в срок, предусмотренный договором купли-продажи, сумма задатка не возвращается.</w:t>
      </w:r>
    </w:p>
    <w:p w14:paraId="4D1135A9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28445FA0" w14:textId="77777777" w:rsidR="00084FBA" w:rsidRPr="00A85399" w:rsidRDefault="00084FBA" w:rsidP="00084FBA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62153EAF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6412BD4D" w14:textId="050CBB81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proofErr w:type="spellStart"/>
      <w:r w:rsidR="00E47699">
        <w:rPr>
          <w:sz w:val="22"/>
          <w:szCs w:val="22"/>
        </w:rPr>
        <w:t>Фелиферова</w:t>
      </w:r>
      <w:proofErr w:type="spellEnd"/>
      <w:r w:rsidR="00E47699">
        <w:rPr>
          <w:sz w:val="22"/>
          <w:szCs w:val="22"/>
        </w:rPr>
        <w:t xml:space="preserve"> Александра Алексеевича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3DF52B3C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018864BB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688D1BCB" w14:textId="77777777" w:rsidR="00084FBA" w:rsidRPr="008427F9" w:rsidRDefault="00084FBA" w:rsidP="00084FBA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08702DFE" w14:textId="77777777" w:rsidR="00084FBA" w:rsidRPr="00FC480E" w:rsidRDefault="00084FBA" w:rsidP="00084FBA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084FBA" w:rsidRPr="00FC480E" w14:paraId="5638508A" w14:textId="77777777" w:rsidTr="00DE0F20">
        <w:trPr>
          <w:trHeight w:val="450"/>
        </w:trPr>
        <w:tc>
          <w:tcPr>
            <w:tcW w:w="5070" w:type="dxa"/>
          </w:tcPr>
          <w:p w14:paraId="52A10FC9" w14:textId="77777777" w:rsidR="00084FBA" w:rsidRPr="00FC480E" w:rsidRDefault="00084FBA" w:rsidP="00DE0F20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07E779CD" w14:textId="77777777" w:rsidR="00084FBA" w:rsidRPr="00FC480E" w:rsidRDefault="00084FBA" w:rsidP="00DE0F20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084FBA" w:rsidRPr="00FC480E" w14:paraId="0C53AA97" w14:textId="77777777" w:rsidTr="00DE0F20">
        <w:trPr>
          <w:trHeight w:val="2117"/>
        </w:trPr>
        <w:tc>
          <w:tcPr>
            <w:tcW w:w="5070" w:type="dxa"/>
          </w:tcPr>
          <w:p w14:paraId="49679A75" w14:textId="77777777" w:rsidR="00E47699" w:rsidRDefault="00E47699" w:rsidP="00E47699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Фелиферов Александр Алексеевич</w:t>
            </w:r>
          </w:p>
          <w:p w14:paraId="269D5C5D" w14:textId="77777777" w:rsidR="00E47699" w:rsidRDefault="00E47699" w:rsidP="00E47699">
            <w:pPr>
              <w:shd w:val="clear" w:color="auto" w:fill="FFFFFF"/>
              <w:rPr>
                <w:noProof/>
              </w:rPr>
            </w:pPr>
          </w:p>
          <w:p w14:paraId="7DED17CD" w14:textId="77777777" w:rsidR="00E47699" w:rsidRDefault="00E47699" w:rsidP="00E47699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дата рождения: 18.07.1995</w:t>
            </w:r>
          </w:p>
          <w:p w14:paraId="0BB70046" w14:textId="77777777" w:rsidR="00E47699" w:rsidRDefault="00E47699" w:rsidP="00E47699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место рождения: с. Владимировка Пугачевского района Саратовской области</w:t>
            </w:r>
          </w:p>
          <w:p w14:paraId="06922705" w14:textId="77777777" w:rsidR="00E47699" w:rsidRDefault="00E47699" w:rsidP="00E47699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СНИЛС: 161-991-476 98</w:t>
            </w:r>
          </w:p>
          <w:p w14:paraId="2FEF9707" w14:textId="77777777" w:rsidR="00E47699" w:rsidRDefault="00E47699" w:rsidP="00E47699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ИНН 644508388248</w:t>
            </w:r>
          </w:p>
          <w:p w14:paraId="034F2F87" w14:textId="1581A177" w:rsidR="00084FBA" w:rsidRPr="00FC480E" w:rsidRDefault="00E47699" w:rsidP="00E47699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регистрация по месту жительства: Саратовская область, Саратовская область, Пугачевский р-н, с. Красная Речка, ул. Кутякова, д. 102</w:t>
            </w:r>
          </w:p>
        </w:tc>
        <w:tc>
          <w:tcPr>
            <w:tcW w:w="4961" w:type="dxa"/>
          </w:tcPr>
          <w:p w14:paraId="0FDF0738" w14:textId="77777777" w:rsidR="00084FBA" w:rsidRPr="00FC480E" w:rsidRDefault="00084FBA" w:rsidP="00DE0F20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7A249EA8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69E78422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71C50090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2DB389F4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5BC01002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723309AB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2B06E95F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4333ABEA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30571802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5341F075" w14:textId="77777777" w:rsidR="00084FBA" w:rsidRDefault="00084FBA" w:rsidP="00DE0F20">
            <w:pPr>
              <w:jc w:val="both"/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  <w:p w14:paraId="1840E310" w14:textId="616DFAF8" w:rsidR="00E47699" w:rsidRPr="00FC480E" w:rsidRDefault="00E47699" w:rsidP="00DE0F20">
            <w:pPr>
              <w:jc w:val="both"/>
              <w:rPr>
                <w:iCs/>
              </w:rPr>
            </w:pPr>
          </w:p>
        </w:tc>
      </w:tr>
      <w:tr w:rsidR="00084FBA" w:rsidRPr="00FC480E" w14:paraId="10E52B8C" w14:textId="77777777" w:rsidTr="00DE0F20">
        <w:trPr>
          <w:trHeight w:val="2117"/>
        </w:trPr>
        <w:tc>
          <w:tcPr>
            <w:tcW w:w="5070" w:type="dxa"/>
          </w:tcPr>
          <w:p w14:paraId="00C42B2A" w14:textId="1E69F1CD" w:rsidR="00084FBA" w:rsidRPr="00991075" w:rsidRDefault="00084FBA" w:rsidP="00DE0F20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E47699">
              <w:rPr>
                <w:noProof/>
              </w:rPr>
              <w:t>Фелиферова Александра Алексеевича</w:t>
            </w:r>
          </w:p>
          <w:p w14:paraId="00B8A89A" w14:textId="77777777" w:rsidR="00084FBA" w:rsidRPr="00991075" w:rsidRDefault="00084FBA" w:rsidP="00DE0F20">
            <w:pPr>
              <w:shd w:val="clear" w:color="auto" w:fill="FFFFFF"/>
              <w:rPr>
                <w:noProof/>
              </w:rPr>
            </w:pPr>
          </w:p>
          <w:p w14:paraId="4728D438" w14:textId="77777777" w:rsidR="00084FBA" w:rsidRPr="00FC480E" w:rsidRDefault="00084FBA" w:rsidP="00DE0F20">
            <w:pPr>
              <w:shd w:val="clear" w:color="auto" w:fill="FFFFFF"/>
            </w:pPr>
          </w:p>
          <w:p w14:paraId="04623722" w14:textId="77777777" w:rsidR="00084FBA" w:rsidRPr="00FC480E" w:rsidRDefault="00084FBA" w:rsidP="00DE0F20">
            <w:pPr>
              <w:shd w:val="clear" w:color="auto" w:fill="FFFFFF"/>
            </w:pPr>
            <w:r w:rsidRPr="00FC480E">
              <w:t>_____________________</w:t>
            </w:r>
            <w:proofErr w:type="gramStart"/>
            <w:r w:rsidRPr="00FC480E">
              <w:t xml:space="preserve">_  </w:t>
            </w:r>
            <w:r w:rsidRPr="00FC480E">
              <w:rPr>
                <w:noProof/>
              </w:rPr>
              <w:t>В.В.</w:t>
            </w:r>
            <w:proofErr w:type="gramEnd"/>
            <w:r w:rsidRPr="00FC480E">
              <w:rPr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46E9C2DB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</w:tc>
      </w:tr>
    </w:tbl>
    <w:p w14:paraId="42C4411F" w14:textId="77777777" w:rsidR="00084FBA" w:rsidRPr="00FC480E" w:rsidRDefault="00084FBA" w:rsidP="00084FBA">
      <w:pPr>
        <w:ind w:firstLine="851"/>
        <w:jc w:val="both"/>
        <w:rPr>
          <w:iCs/>
        </w:rPr>
      </w:pPr>
    </w:p>
    <w:p w14:paraId="7E0322FE" w14:textId="77777777" w:rsidR="00084FBA" w:rsidRPr="00FC480E" w:rsidRDefault="00084FBA" w:rsidP="00084FBA">
      <w:pPr>
        <w:rPr>
          <w:iCs/>
        </w:rPr>
      </w:pPr>
      <w:r w:rsidRPr="00FC480E">
        <w:rPr>
          <w:iCs/>
        </w:rPr>
        <w:t xml:space="preserve"> </w:t>
      </w:r>
    </w:p>
    <w:p w14:paraId="59625738" w14:textId="77777777" w:rsidR="00084FBA" w:rsidRPr="00FC480E" w:rsidRDefault="00084FBA" w:rsidP="00084FBA">
      <w:pPr>
        <w:ind w:firstLine="851"/>
        <w:jc w:val="both"/>
        <w:rPr>
          <w:iCs/>
        </w:rPr>
      </w:pPr>
    </w:p>
    <w:p w14:paraId="2CB8DD61" w14:textId="77777777" w:rsidR="00084FBA" w:rsidRPr="00A85399" w:rsidRDefault="00084FBA" w:rsidP="00084FBA">
      <w:pPr>
        <w:rPr>
          <w:sz w:val="22"/>
          <w:szCs w:val="22"/>
        </w:rPr>
      </w:pPr>
    </w:p>
    <w:p w14:paraId="4B11AA81" w14:textId="77777777" w:rsidR="00084FBA" w:rsidRDefault="00084FBA" w:rsidP="00084FBA"/>
    <w:p w14:paraId="7FC6EFA6" w14:textId="77777777" w:rsidR="00084FBA" w:rsidRDefault="00084FBA" w:rsidP="00084FBA"/>
    <w:p w14:paraId="67E44347" w14:textId="77777777" w:rsidR="00E6225D" w:rsidRDefault="00E6225D"/>
    <w:sectPr w:rsidR="00E6225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BA"/>
    <w:rsid w:val="00084FBA"/>
    <w:rsid w:val="007A7A59"/>
    <w:rsid w:val="009D76A7"/>
    <w:rsid w:val="00CE5499"/>
    <w:rsid w:val="00E47699"/>
    <w:rsid w:val="00E6225D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07D6"/>
  <w15:chartTrackingRefBased/>
  <w15:docId w15:val="{27B4F90F-6FFF-46E6-BB07-CF0CA50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084FBA"/>
  </w:style>
  <w:style w:type="paragraph" w:styleId="a3">
    <w:name w:val="List Paragraph"/>
    <w:basedOn w:val="a"/>
    <w:qFormat/>
    <w:rsid w:val="00084FB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084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2026-06-15T10:51:00Z</dcterms:created>
  <dcterms:modified xsi:type="dcterms:W3CDTF">2026-06-15T12:11:00Z</dcterms:modified>
</cp:coreProperties>
</file>