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12568FB1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>й стороны,</w:t>
      </w:r>
      <w:r w:rsidR="00252F16">
        <w:rPr>
          <w:rFonts w:ascii="Times New Roman" w:hAnsi="Times New Roman" w:cs="Times New Roman"/>
        </w:rPr>
        <w:t xml:space="preserve"> и конкурсный управляющий</w:t>
      </w:r>
      <w:r w:rsidR="00252F16" w:rsidRPr="00252F16">
        <w:t xml:space="preserve"> </w:t>
      </w:r>
      <w:r w:rsidR="00252F16" w:rsidRPr="001371FE">
        <w:t xml:space="preserve">ООО «Аренда Строительной техники» (142001, Московская область, город Домодедово, ул. Каширское Шоссе (Северный </w:t>
      </w:r>
      <w:proofErr w:type="spellStart"/>
      <w:r w:rsidR="00252F16" w:rsidRPr="001371FE">
        <w:t>Мкр</w:t>
      </w:r>
      <w:proofErr w:type="spellEnd"/>
      <w:r w:rsidR="00252F16" w:rsidRPr="001371FE">
        <w:t xml:space="preserve">.), д. 7, офис 36, </w:t>
      </w:r>
      <w:bookmarkStart w:id="0" w:name="_Hlk204954505"/>
      <w:r w:rsidR="00252F16" w:rsidRPr="001371FE">
        <w:t>ИНН 5009124338; ОГРН 1205000066941</w:t>
      </w:r>
      <w:bookmarkEnd w:id="0"/>
      <w:r w:rsidR="00252F16" w:rsidRPr="001371FE">
        <w:t>)</w:t>
      </w:r>
      <w:r w:rsidR="00252F16">
        <w:rPr>
          <w:rFonts w:ascii="Times New Roman" w:hAnsi="Times New Roman" w:cs="Times New Roman"/>
        </w:rPr>
        <w:t xml:space="preserve">  Новожилов Алекс</w:t>
      </w:r>
      <w:bookmarkStart w:id="1" w:name="_GoBack"/>
      <w:bookmarkEnd w:id="1"/>
      <w:r w:rsidR="00252F16">
        <w:rPr>
          <w:rFonts w:ascii="Times New Roman" w:hAnsi="Times New Roman" w:cs="Times New Roman"/>
        </w:rPr>
        <w:t>ей Владиленович</w:t>
      </w:r>
      <w:r w:rsidR="00252F16" w:rsidRPr="00252F16">
        <w:t xml:space="preserve"> </w:t>
      </w:r>
      <w:r w:rsidR="00252F16" w:rsidRPr="00AD35AB">
        <w:t>действующ</w:t>
      </w:r>
      <w:r w:rsidR="00252F16">
        <w:t>ий</w:t>
      </w:r>
      <w:r w:rsidR="00252F16" w:rsidRPr="00AD35AB">
        <w:t xml:space="preserve"> на основании решения</w:t>
      </w:r>
      <w:r w:rsidR="00252F16" w:rsidRPr="002E470D">
        <w:t xml:space="preserve"> </w:t>
      </w:r>
      <w:r w:rsidR="00252F16" w:rsidRPr="001371FE">
        <w:t>Арбитражного суда Московской области по делу № А41-18586/23 от 14.06.2024 г.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52F16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2017-11-03T08:47:00Z</cp:lastPrinted>
  <dcterms:created xsi:type="dcterms:W3CDTF">2023-08-09T12:54:00Z</dcterms:created>
  <dcterms:modified xsi:type="dcterms:W3CDTF">2026-02-01T19:24:00Z</dcterms:modified>
</cp:coreProperties>
</file>