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DA" w:rsidRDefault="001E5682">
      <w:pPr>
        <w:pStyle w:val="a6"/>
        <w:rPr>
          <w:sz w:val="22"/>
          <w:szCs w:val="22"/>
        </w:rPr>
      </w:pPr>
      <w:r>
        <w:rPr>
          <w:sz w:val="22"/>
          <w:szCs w:val="22"/>
        </w:rPr>
        <w:t>Договор о задатке № ___</w:t>
      </w:r>
    </w:p>
    <w:p w:rsidR="001145DA" w:rsidRDefault="001145DA">
      <w:pPr>
        <w:pStyle w:val="a6"/>
        <w:rPr>
          <w:sz w:val="22"/>
          <w:szCs w:val="22"/>
        </w:rPr>
      </w:pPr>
    </w:p>
    <w:p w:rsidR="001145DA" w:rsidRDefault="001E5682">
      <w:pPr>
        <w:pStyle w:val="a6"/>
      </w:pPr>
      <w:r>
        <w:rPr>
          <w:b w:val="0"/>
          <w:sz w:val="22"/>
          <w:szCs w:val="22"/>
        </w:rPr>
        <w:t xml:space="preserve">г. Кемерово </w:t>
      </w:r>
      <w:r>
        <w:rPr>
          <w:b w:val="0"/>
          <w:sz w:val="22"/>
          <w:szCs w:val="22"/>
        </w:rPr>
        <w:tab/>
        <w:t xml:space="preserve">                                                                    </w:t>
      </w:r>
      <w:r>
        <w:rPr>
          <w:b w:val="0"/>
          <w:sz w:val="22"/>
          <w:szCs w:val="22"/>
        </w:rPr>
        <w:tab/>
      </w:r>
      <w:r>
        <w:rPr>
          <w:b w:val="0"/>
          <w:sz w:val="22"/>
          <w:szCs w:val="22"/>
        </w:rPr>
        <w:tab/>
        <w:t xml:space="preserve">«___»_______ 20__ года </w:t>
      </w:r>
    </w:p>
    <w:p w:rsidR="001145DA" w:rsidRDefault="001145DA">
      <w:pPr>
        <w:pStyle w:val="a6"/>
        <w:ind w:firstLine="567"/>
        <w:jc w:val="both"/>
        <w:rPr>
          <w:b w:val="0"/>
          <w:sz w:val="22"/>
          <w:szCs w:val="22"/>
        </w:rPr>
      </w:pPr>
    </w:p>
    <w:p w:rsidR="001145DA" w:rsidRDefault="001E5682">
      <w:pPr>
        <w:ind w:firstLine="720"/>
        <w:jc w:val="both"/>
        <w:rPr>
          <w:b/>
          <w:sz w:val="22"/>
          <w:szCs w:val="22"/>
        </w:rPr>
      </w:pPr>
      <w:r>
        <w:rPr>
          <w:b/>
          <w:sz w:val="22"/>
          <w:szCs w:val="22"/>
        </w:rPr>
        <w:t>Конкурсный управляющий ООО «</w:t>
      </w:r>
      <w:proofErr w:type="spellStart"/>
      <w:r w:rsidR="00487A65">
        <w:rPr>
          <w:b/>
          <w:sz w:val="22"/>
          <w:szCs w:val="22"/>
        </w:rPr>
        <w:t>УгольТэк</w:t>
      </w:r>
      <w:r>
        <w:rPr>
          <w:b/>
          <w:sz w:val="22"/>
          <w:szCs w:val="22"/>
        </w:rPr>
        <w:t>ь</w:t>
      </w:r>
      <w:proofErr w:type="spellEnd"/>
      <w:r>
        <w:rPr>
          <w:b/>
          <w:sz w:val="22"/>
          <w:szCs w:val="22"/>
        </w:rPr>
        <w:t xml:space="preserve">» </w:t>
      </w:r>
      <w:proofErr w:type="spellStart"/>
      <w:r>
        <w:rPr>
          <w:b/>
          <w:sz w:val="22"/>
          <w:szCs w:val="22"/>
        </w:rPr>
        <w:t>Санжаревский</w:t>
      </w:r>
      <w:proofErr w:type="spellEnd"/>
      <w:r>
        <w:rPr>
          <w:b/>
          <w:sz w:val="22"/>
          <w:szCs w:val="22"/>
        </w:rPr>
        <w:t xml:space="preserve"> Евгений Всеволодович, именуемый в дальнейшем «Организатор торгов»,</w:t>
      </w:r>
      <w:r>
        <w:rPr>
          <w:sz w:val="22"/>
          <w:szCs w:val="22"/>
        </w:rPr>
        <w:t xml:space="preserve">  действующий на основании определения арбитражного суда Кемеровской области </w:t>
      </w:r>
      <w:r w:rsidR="00487A65" w:rsidRPr="00487A65">
        <w:rPr>
          <w:sz w:val="22"/>
          <w:szCs w:val="22"/>
        </w:rPr>
        <w:t>от 25.11.2022г. по делу № А27-15000/2020</w:t>
      </w:r>
      <w:r>
        <w:rPr>
          <w:sz w:val="22"/>
          <w:szCs w:val="22"/>
        </w:rPr>
        <w:t>с одной стороны, и ___________________________</w:t>
      </w:r>
      <w:r>
        <w:rPr>
          <w:b/>
          <w:sz w:val="22"/>
          <w:szCs w:val="22"/>
        </w:rPr>
        <w:t>___________________________________________________________</w:t>
      </w:r>
    </w:p>
    <w:p w:rsidR="001145DA" w:rsidRDefault="001E5682">
      <w:pPr>
        <w:jc w:val="both"/>
      </w:pPr>
      <w:r>
        <w:rPr>
          <w:b/>
          <w:sz w:val="22"/>
          <w:szCs w:val="22"/>
        </w:rPr>
        <w:t>_____________________________________________________________________________________________</w:t>
      </w:r>
      <w:r>
        <w:rPr>
          <w:sz w:val="22"/>
          <w:szCs w:val="22"/>
        </w:rPr>
        <w:t xml:space="preserve"> именуемый в дальнейшем </w:t>
      </w:r>
      <w:r>
        <w:rPr>
          <w:b/>
          <w:sz w:val="22"/>
          <w:szCs w:val="22"/>
        </w:rPr>
        <w:t>«Заявитель»,</w:t>
      </w:r>
      <w:r>
        <w:rPr>
          <w:sz w:val="22"/>
          <w:szCs w:val="22"/>
        </w:rPr>
        <w:t xml:space="preserve"> с другой стороны, заключили настоящий договор о нижеследующем:</w:t>
      </w:r>
    </w:p>
    <w:p w:rsidR="001145DA" w:rsidRDefault="001145DA">
      <w:pPr>
        <w:pStyle w:val="a6"/>
        <w:rPr>
          <w:b w:val="0"/>
          <w:sz w:val="22"/>
          <w:szCs w:val="22"/>
        </w:rPr>
      </w:pPr>
    </w:p>
    <w:p w:rsidR="001145DA" w:rsidRDefault="001E5682">
      <w:pPr>
        <w:pStyle w:val="a6"/>
      </w:pPr>
      <w:r>
        <w:rPr>
          <w:sz w:val="22"/>
          <w:szCs w:val="22"/>
          <w:lang w:val="en-US"/>
        </w:rPr>
        <w:t>I</w:t>
      </w:r>
      <w:r>
        <w:rPr>
          <w:sz w:val="22"/>
          <w:szCs w:val="22"/>
        </w:rPr>
        <w:t>. Предмет договора</w:t>
      </w:r>
    </w:p>
    <w:p w:rsidR="001145DA" w:rsidRDefault="001E5682">
      <w:pPr>
        <w:jc w:val="both"/>
        <w:rPr>
          <w:sz w:val="22"/>
          <w:szCs w:val="22"/>
        </w:rPr>
      </w:pPr>
      <w:r>
        <w:rPr>
          <w:sz w:val="22"/>
          <w:szCs w:val="22"/>
        </w:rPr>
        <w:t xml:space="preserve">1.1. </w:t>
      </w:r>
      <w:proofErr w:type="gramStart"/>
      <w:r>
        <w:rPr>
          <w:sz w:val="22"/>
          <w:szCs w:val="22"/>
        </w:rPr>
        <w:t>В соответствии с условиями настоящего договора Заявитель для участия в торгах по продаже</w:t>
      </w:r>
      <w:proofErr w:type="gramEnd"/>
      <w:r>
        <w:rPr>
          <w:sz w:val="22"/>
          <w:szCs w:val="22"/>
        </w:rPr>
        <w:t xml:space="preserve">: </w:t>
      </w:r>
    </w:p>
    <w:p w:rsidR="001145DA" w:rsidRDefault="001E5682">
      <w:pPr>
        <w:jc w:val="both"/>
      </w:pPr>
      <w:r>
        <w:t>Имущества:</w:t>
      </w:r>
    </w:p>
    <w:tbl>
      <w:tblPr>
        <w:tblW w:w="10456" w:type="dxa"/>
        <w:tblInd w:w="-113" w:type="dxa"/>
        <w:tblLayout w:type="fixed"/>
        <w:tblLook w:val="0000" w:firstRow="0" w:lastRow="0" w:firstColumn="0" w:lastColumn="0" w:noHBand="0" w:noVBand="0"/>
      </w:tblPr>
      <w:tblGrid>
        <w:gridCol w:w="8188"/>
        <w:gridCol w:w="2268"/>
      </w:tblGrid>
      <w:tr w:rsidR="001145DA">
        <w:tc>
          <w:tcPr>
            <w:tcW w:w="8188" w:type="dxa"/>
            <w:tcBorders>
              <w:top w:val="single" w:sz="4" w:space="0" w:color="000000"/>
              <w:left w:val="single" w:sz="4" w:space="0" w:color="000000"/>
              <w:bottom w:val="single" w:sz="4" w:space="0" w:color="000000"/>
              <w:right w:val="single" w:sz="4" w:space="0" w:color="000000"/>
            </w:tcBorders>
          </w:tcPr>
          <w:p w:rsidR="001145DA" w:rsidRDefault="001E5682">
            <w:pPr>
              <w:widowControl w:val="0"/>
              <w:autoSpaceDE w:val="0"/>
              <w:spacing w:line="276" w:lineRule="auto"/>
              <w:ind w:right="-284"/>
              <w:jc w:val="both"/>
              <w:rPr>
                <w:b/>
              </w:rPr>
            </w:pPr>
            <w:r>
              <w:rPr>
                <w:b/>
              </w:rPr>
              <w:t>Лот № ___</w:t>
            </w:r>
          </w:p>
        </w:tc>
        <w:tc>
          <w:tcPr>
            <w:tcW w:w="2268" w:type="dxa"/>
            <w:tcBorders>
              <w:top w:val="single" w:sz="4" w:space="0" w:color="000000"/>
              <w:left w:val="single" w:sz="4" w:space="0" w:color="000000"/>
              <w:bottom w:val="single" w:sz="4" w:space="0" w:color="000000"/>
              <w:right w:val="single" w:sz="4" w:space="0" w:color="000000"/>
            </w:tcBorders>
          </w:tcPr>
          <w:p w:rsidR="001145DA" w:rsidRDefault="001E5682">
            <w:pPr>
              <w:widowControl w:val="0"/>
              <w:autoSpaceDE w:val="0"/>
              <w:spacing w:line="276" w:lineRule="auto"/>
              <w:ind w:right="-284"/>
              <w:jc w:val="both"/>
              <w:rPr>
                <w:b/>
              </w:rPr>
            </w:pPr>
            <w:r>
              <w:rPr>
                <w:b/>
              </w:rPr>
              <w:t>Начальная цена (</w:t>
            </w:r>
            <w:proofErr w:type="spellStart"/>
            <w:r>
              <w:rPr>
                <w:b/>
              </w:rPr>
              <w:t>руб</w:t>
            </w:r>
            <w:proofErr w:type="spellEnd"/>
            <w:r>
              <w:rPr>
                <w:b/>
              </w:rPr>
              <w:t>).</w:t>
            </w:r>
          </w:p>
        </w:tc>
      </w:tr>
      <w:tr w:rsidR="001145DA">
        <w:tc>
          <w:tcPr>
            <w:tcW w:w="8188" w:type="dxa"/>
            <w:tcBorders>
              <w:top w:val="single" w:sz="4" w:space="0" w:color="000000"/>
              <w:left w:val="single" w:sz="4" w:space="0" w:color="000000"/>
              <w:bottom w:val="single" w:sz="4" w:space="0" w:color="000000"/>
              <w:right w:val="single" w:sz="4" w:space="0" w:color="000000"/>
            </w:tcBorders>
          </w:tcPr>
          <w:p w:rsidR="001145DA" w:rsidRPr="00487A65" w:rsidRDefault="000B2E6E">
            <w:pPr>
              <w:widowControl w:val="0"/>
              <w:autoSpaceDE w:val="0"/>
              <w:spacing w:line="276" w:lineRule="auto"/>
              <w:ind w:right="-284"/>
            </w:pPr>
            <w:proofErr w:type="gramStart"/>
            <w:r w:rsidRPr="000B2E6E">
              <w:t xml:space="preserve">Права требования  к Федоровой Елене Вячеславовне (ИНН 701738936902), Кравченко Ирине Николаевне (ИНН 420213662605, 24.02.1971 г.р.), Кравченко Владимиру Александровичу (ИНН 701730996635, 27.06.1972 г.р.) Кравченко Сергею Александровичу, Кравченко Галине Ивановне (ИНН 701711437656, 13.05.1950 г.р.) АО «КИМЕРМ» (ИНН 4205227786), ООО «Разрез </w:t>
            </w:r>
            <w:proofErr w:type="spellStart"/>
            <w:r w:rsidRPr="000B2E6E">
              <w:t>Трудармейский</w:t>
            </w:r>
            <w:proofErr w:type="spellEnd"/>
            <w:r w:rsidRPr="000B2E6E">
              <w:t xml:space="preserve"> Южный» (ИНН 5406266547), ООО «Уголь» (ИНН 7017162926) в размере 28 343 748,79 рублей в порядке привлечения к субсидиарной</w:t>
            </w:r>
            <w:proofErr w:type="gramEnd"/>
            <w:r w:rsidRPr="000B2E6E">
              <w:t xml:space="preserve"> ответственности в соответствии с Определением Арбитражного суда Кемеровской области от 20.05.2026г. по делу № А27-15000/2020</w:t>
            </w:r>
            <w:bookmarkStart w:id="0" w:name="_GoBack"/>
            <w:bookmarkEnd w:id="0"/>
          </w:p>
        </w:tc>
        <w:tc>
          <w:tcPr>
            <w:tcW w:w="2268" w:type="dxa"/>
            <w:tcBorders>
              <w:top w:val="single" w:sz="4" w:space="0" w:color="000000"/>
              <w:left w:val="single" w:sz="4" w:space="0" w:color="000000"/>
              <w:bottom w:val="single" w:sz="4" w:space="0" w:color="000000"/>
              <w:right w:val="single" w:sz="4" w:space="0" w:color="000000"/>
            </w:tcBorders>
          </w:tcPr>
          <w:p w:rsidR="001145DA" w:rsidRDefault="00487A65">
            <w:pPr>
              <w:widowControl w:val="0"/>
              <w:autoSpaceDE w:val="0"/>
              <w:spacing w:line="276" w:lineRule="auto"/>
              <w:ind w:right="-284"/>
              <w:jc w:val="both"/>
            </w:pPr>
            <w:r>
              <w:t>2 300 700</w:t>
            </w:r>
          </w:p>
        </w:tc>
      </w:tr>
    </w:tbl>
    <w:p w:rsidR="001145DA" w:rsidRDefault="001E5682">
      <w:pPr>
        <w:shd w:val="clear" w:color="auto" w:fill="FFFFFF"/>
        <w:tabs>
          <w:tab w:val="left" w:pos="922"/>
        </w:tabs>
        <w:ind w:firstLine="709"/>
        <w:jc w:val="both"/>
      </w:pPr>
      <w:r>
        <w:tab/>
      </w:r>
    </w:p>
    <w:p w:rsidR="001145DA" w:rsidRDefault="001E5682">
      <w:pPr>
        <w:jc w:val="both"/>
      </w:pPr>
      <w:r>
        <w:rPr>
          <w:sz w:val="22"/>
          <w:szCs w:val="22"/>
        </w:rPr>
        <w:t xml:space="preserve">(далее – </w:t>
      </w:r>
      <w:r>
        <w:rPr>
          <w:b/>
          <w:sz w:val="22"/>
          <w:szCs w:val="22"/>
        </w:rPr>
        <w:t>«Имущество»</w:t>
      </w:r>
      <w:r>
        <w:rPr>
          <w:sz w:val="22"/>
          <w:szCs w:val="22"/>
        </w:rPr>
        <w:t>),  вносит денежные средства в размере _______________________________________</w:t>
      </w:r>
    </w:p>
    <w:p w:rsidR="001145DA" w:rsidRDefault="001E5682">
      <w:pPr>
        <w:jc w:val="both"/>
      </w:pPr>
      <w:r>
        <w:rPr>
          <w:sz w:val="22"/>
          <w:szCs w:val="22"/>
        </w:rPr>
        <w:t xml:space="preserve">____________________________________________________ (далее – </w:t>
      </w:r>
      <w:r>
        <w:rPr>
          <w:b/>
          <w:sz w:val="22"/>
          <w:szCs w:val="22"/>
        </w:rPr>
        <w:t>«задаток»</w:t>
      </w:r>
      <w:r>
        <w:rPr>
          <w:sz w:val="22"/>
          <w:szCs w:val="22"/>
        </w:rPr>
        <w:t>) путем их перечисления на специальный расчетный счет ООО «</w:t>
      </w:r>
      <w:proofErr w:type="spellStart"/>
      <w:r w:rsidR="00487A65">
        <w:rPr>
          <w:sz w:val="22"/>
          <w:szCs w:val="22"/>
        </w:rPr>
        <w:t>УгольТэк</w:t>
      </w:r>
      <w:proofErr w:type="spellEnd"/>
      <w:r>
        <w:rPr>
          <w:sz w:val="22"/>
          <w:szCs w:val="22"/>
        </w:rPr>
        <w:t>».</w:t>
      </w:r>
    </w:p>
    <w:p w:rsidR="001145DA" w:rsidRDefault="001E5682">
      <w:pPr>
        <w:pStyle w:val="a6"/>
        <w:jc w:val="both"/>
        <w:rPr>
          <w:b w:val="0"/>
          <w:sz w:val="22"/>
          <w:szCs w:val="22"/>
        </w:rPr>
      </w:pPr>
      <w:r>
        <w:rPr>
          <w:b w:val="0"/>
          <w:sz w:val="22"/>
          <w:szCs w:val="22"/>
        </w:rPr>
        <w:t xml:space="preserve">1.2. Задаток вносится Заявителем в счет обеспечения исполнения </w:t>
      </w:r>
      <w:proofErr w:type="gramStart"/>
      <w:r>
        <w:rPr>
          <w:b w:val="0"/>
          <w:sz w:val="22"/>
          <w:szCs w:val="22"/>
        </w:rPr>
        <w:t>обязательств</w:t>
      </w:r>
      <w:proofErr w:type="gramEnd"/>
      <w:r>
        <w:rPr>
          <w:b w:val="0"/>
          <w:sz w:val="22"/>
          <w:szCs w:val="22"/>
        </w:rPr>
        <w:t xml:space="preserve"> по оплате  продаваемого на торгах Имущества.</w:t>
      </w:r>
    </w:p>
    <w:p w:rsidR="001145DA" w:rsidRDefault="001145DA">
      <w:pPr>
        <w:pStyle w:val="a6"/>
        <w:jc w:val="both"/>
        <w:rPr>
          <w:b w:val="0"/>
          <w:sz w:val="22"/>
          <w:szCs w:val="22"/>
        </w:rPr>
      </w:pPr>
    </w:p>
    <w:p w:rsidR="001145DA" w:rsidRDefault="001E5682">
      <w:pPr>
        <w:pStyle w:val="a6"/>
      </w:pPr>
      <w:r>
        <w:rPr>
          <w:sz w:val="22"/>
          <w:szCs w:val="22"/>
          <w:lang w:val="en-US"/>
        </w:rPr>
        <w:t>II</w:t>
      </w:r>
      <w:r>
        <w:rPr>
          <w:sz w:val="22"/>
          <w:szCs w:val="22"/>
        </w:rPr>
        <w:t>. Порядок внесения задатка</w:t>
      </w:r>
    </w:p>
    <w:p w:rsidR="001145DA" w:rsidRDefault="001E5682">
      <w:pPr>
        <w:pStyle w:val="a6"/>
        <w:jc w:val="both"/>
      </w:pPr>
      <w:r>
        <w:rPr>
          <w:b w:val="0"/>
          <w:sz w:val="22"/>
          <w:szCs w:val="22"/>
        </w:rPr>
        <w:t xml:space="preserve">2.1. Задаток считается внесенным </w:t>
      </w:r>
      <w:proofErr w:type="gramStart"/>
      <w:r>
        <w:rPr>
          <w:b w:val="0"/>
          <w:sz w:val="22"/>
          <w:szCs w:val="22"/>
        </w:rPr>
        <w:t>с даты поступления</w:t>
      </w:r>
      <w:proofErr w:type="gramEnd"/>
      <w:r>
        <w:rPr>
          <w:b w:val="0"/>
          <w:sz w:val="22"/>
          <w:szCs w:val="22"/>
        </w:rPr>
        <w:t xml:space="preserve"> всей суммы задатка на специальный расчетный счет ООО «</w:t>
      </w:r>
      <w:proofErr w:type="spellStart"/>
      <w:r w:rsidR="00487A65">
        <w:rPr>
          <w:b w:val="0"/>
          <w:sz w:val="22"/>
          <w:szCs w:val="22"/>
        </w:rPr>
        <w:t>УгольТэк</w:t>
      </w:r>
      <w:proofErr w:type="spellEnd"/>
      <w:r>
        <w:rPr>
          <w:b w:val="0"/>
          <w:sz w:val="22"/>
          <w:szCs w:val="22"/>
        </w:rPr>
        <w:t>».</w:t>
      </w:r>
    </w:p>
    <w:p w:rsidR="001145DA" w:rsidRDefault="001E5682">
      <w:pPr>
        <w:pStyle w:val="a6"/>
        <w:ind w:firstLine="284"/>
        <w:jc w:val="both"/>
        <w:rPr>
          <w:b w:val="0"/>
          <w:sz w:val="22"/>
          <w:szCs w:val="22"/>
        </w:rPr>
      </w:pPr>
      <w:r>
        <w:rPr>
          <w:b w:val="0"/>
          <w:sz w:val="22"/>
          <w:szCs w:val="22"/>
        </w:rPr>
        <w:t xml:space="preserve">В случае </w:t>
      </w:r>
      <w:proofErr w:type="spellStart"/>
      <w:r>
        <w:rPr>
          <w:b w:val="0"/>
          <w:sz w:val="22"/>
          <w:szCs w:val="22"/>
        </w:rPr>
        <w:t>непоступления</w:t>
      </w:r>
      <w:proofErr w:type="spellEnd"/>
      <w:r>
        <w:rPr>
          <w:b w:val="0"/>
          <w:sz w:val="22"/>
          <w:szCs w:val="22"/>
        </w:rPr>
        <w:t xml:space="preserve"> суммы задатка в установленный срок обязательства Заявителя по внесению задатка считаются не выполненными. В этом случае Заявитель к участию в торгах не допускается.</w:t>
      </w:r>
    </w:p>
    <w:p w:rsidR="001145DA" w:rsidRDefault="001E5682">
      <w:pPr>
        <w:pStyle w:val="a6"/>
        <w:ind w:firstLine="284"/>
        <w:jc w:val="both"/>
      </w:pPr>
      <w:r>
        <w:rPr>
          <w:b w:val="0"/>
          <w:sz w:val="22"/>
          <w:szCs w:val="22"/>
        </w:rPr>
        <w:t xml:space="preserve">Документом, подтверждающим внесение или не внесение Заявителем задатка, является платежное поручение, а также выписка с расчетного счета. </w:t>
      </w:r>
    </w:p>
    <w:p w:rsidR="001145DA" w:rsidRDefault="001E5682">
      <w:pPr>
        <w:pStyle w:val="a6"/>
        <w:jc w:val="both"/>
      </w:pPr>
      <w:r>
        <w:rPr>
          <w:b w:val="0"/>
          <w:sz w:val="22"/>
          <w:szCs w:val="22"/>
        </w:rPr>
        <w:t>2.2. Организатор торгов не вправе распоряжаться денежными средствами, поступившими в качестве задатка.</w:t>
      </w:r>
    </w:p>
    <w:p w:rsidR="001145DA" w:rsidRDefault="001E5682">
      <w:pPr>
        <w:pStyle w:val="a6"/>
        <w:jc w:val="both"/>
      </w:pPr>
      <w:r>
        <w:rPr>
          <w:b w:val="0"/>
          <w:sz w:val="22"/>
          <w:szCs w:val="22"/>
        </w:rPr>
        <w:t>2.3. На денежные средства, оплаченные в соответствии с настоящим договором, проценты не начисляются.</w:t>
      </w:r>
    </w:p>
    <w:p w:rsidR="001145DA" w:rsidRDefault="001145DA">
      <w:pPr>
        <w:pStyle w:val="a6"/>
        <w:ind w:firstLine="567"/>
        <w:jc w:val="both"/>
        <w:rPr>
          <w:b w:val="0"/>
          <w:sz w:val="22"/>
          <w:szCs w:val="22"/>
        </w:rPr>
      </w:pPr>
    </w:p>
    <w:p w:rsidR="001145DA" w:rsidRDefault="001E5682">
      <w:pPr>
        <w:pStyle w:val="a6"/>
      </w:pPr>
      <w:r>
        <w:rPr>
          <w:sz w:val="22"/>
          <w:szCs w:val="22"/>
          <w:lang w:val="en-US"/>
        </w:rPr>
        <w:t>III</w:t>
      </w:r>
      <w:r>
        <w:rPr>
          <w:sz w:val="22"/>
          <w:szCs w:val="22"/>
        </w:rPr>
        <w:t xml:space="preserve">. Порядок возврата и удержания задатка </w:t>
      </w:r>
    </w:p>
    <w:p w:rsidR="001145DA" w:rsidRDefault="001E5682">
      <w:pPr>
        <w:pStyle w:val="a6"/>
        <w:jc w:val="both"/>
      </w:pPr>
      <w:r>
        <w:rPr>
          <w:b w:val="0"/>
          <w:sz w:val="22"/>
          <w:szCs w:val="22"/>
        </w:rPr>
        <w:t>3.1. Задаток возвращается в случаях и в сроки, которые установлены пунктами 3.2 – 3.6 настоящего договора путем перечисления на расчетный счет Заявителя.</w:t>
      </w:r>
    </w:p>
    <w:p w:rsidR="001145DA" w:rsidRDefault="001E5682">
      <w:pPr>
        <w:pStyle w:val="a6"/>
        <w:jc w:val="both"/>
      </w:pPr>
      <w:r>
        <w:rPr>
          <w:b w:val="0"/>
          <w:sz w:val="22"/>
          <w:szCs w:val="22"/>
        </w:rPr>
        <w:t xml:space="preserve">3.2. В случае если заявитель не будет допущен к участию в торгах, организатор торгов обязуется возвратить сумму внесенного заявителем задатка в течение 3 (трех) рабочих дней </w:t>
      </w:r>
      <w:proofErr w:type="gramStart"/>
      <w:r>
        <w:rPr>
          <w:b w:val="0"/>
          <w:sz w:val="22"/>
          <w:szCs w:val="22"/>
        </w:rPr>
        <w:t>с даты оформления</w:t>
      </w:r>
      <w:proofErr w:type="gramEnd"/>
      <w:r>
        <w:rPr>
          <w:b w:val="0"/>
          <w:sz w:val="22"/>
          <w:szCs w:val="22"/>
        </w:rPr>
        <w:t xml:space="preserve"> протокола окончания приема и регистрации заявок на участие в торгах.</w:t>
      </w:r>
    </w:p>
    <w:p w:rsidR="001145DA" w:rsidRDefault="001E5682">
      <w:pPr>
        <w:pStyle w:val="a6"/>
        <w:jc w:val="both"/>
      </w:pPr>
      <w:r>
        <w:rPr>
          <w:b w:val="0"/>
          <w:sz w:val="22"/>
          <w:szCs w:val="22"/>
        </w:rPr>
        <w:t>3.3. В случае если заявитель участвовал в торгах, но не выиграл их, организатор торгов обязуется возвратить сумму внесенного заявителем задатка в течение 3 (трех) рабочих дней со дня подписания протокола о результатах торгов, имеющего силу договора и заключения договора купли–продажи имущества.</w:t>
      </w:r>
    </w:p>
    <w:p w:rsidR="001145DA" w:rsidRDefault="001E5682">
      <w:pPr>
        <w:pStyle w:val="a6"/>
        <w:ind w:firstLine="567"/>
        <w:jc w:val="both"/>
      </w:pPr>
      <w:proofErr w:type="gramStart"/>
      <w:r>
        <w:rPr>
          <w:b w:val="0"/>
          <w:sz w:val="22"/>
          <w:szCs w:val="22"/>
        </w:rPr>
        <w:t>В случае если Заявитель участвовал в торгах, но не выиграл их, а победитель торгов уклонился от подписания протокола о результатах торгов в установленный извещением о проведении торгов срок, то сумма внесенного Заявителем задатка возвращается в течение 3 (трех) рабочих дней со дня истечения срока, установленного для подписания протокола о результатах торгов, имеющего силу договора и заключения договора купли–продажи имущества.</w:t>
      </w:r>
      <w:proofErr w:type="gramEnd"/>
    </w:p>
    <w:p w:rsidR="001145DA" w:rsidRDefault="001E5682">
      <w:pPr>
        <w:pStyle w:val="a6"/>
        <w:jc w:val="both"/>
        <w:rPr>
          <w:b w:val="0"/>
          <w:sz w:val="22"/>
          <w:szCs w:val="22"/>
        </w:rPr>
      </w:pPr>
      <w:r>
        <w:rPr>
          <w:b w:val="0"/>
          <w:sz w:val="22"/>
          <w:szCs w:val="22"/>
        </w:rPr>
        <w:t xml:space="preserve">3.4.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3 (трех) рабочих дней со дня поступления организатору торгов от заявителя уведомления об отзыве заявки. </w:t>
      </w:r>
    </w:p>
    <w:p w:rsidR="001145DA" w:rsidRDefault="001E5682">
      <w:pPr>
        <w:pStyle w:val="a4"/>
        <w:jc w:val="both"/>
      </w:pPr>
      <w:r>
        <w:rPr>
          <w:b w:val="0"/>
          <w:sz w:val="22"/>
          <w:szCs w:val="22"/>
        </w:rPr>
        <w:lastRenderedPageBreak/>
        <w:t xml:space="preserve">3.5. В случае признания торгов не </w:t>
      </w:r>
      <w:proofErr w:type="gramStart"/>
      <w:r>
        <w:rPr>
          <w:b w:val="0"/>
          <w:sz w:val="22"/>
          <w:szCs w:val="22"/>
        </w:rPr>
        <w:t>состоявшимися</w:t>
      </w:r>
      <w:proofErr w:type="gramEnd"/>
      <w:r>
        <w:rPr>
          <w:b w:val="0"/>
          <w:sz w:val="22"/>
          <w:szCs w:val="22"/>
        </w:rPr>
        <w:t>, конкурсный управляющий обязуется возвратить сумму внесенного заявителем задатка в течение 3 (трех) рабочих дней со дня принятия решения об объявлении торгов несостоявшимися.</w:t>
      </w:r>
    </w:p>
    <w:p w:rsidR="001145DA" w:rsidRDefault="001E5682">
      <w:pPr>
        <w:pStyle w:val="a8"/>
        <w:ind w:firstLine="0"/>
      </w:pPr>
      <w:r>
        <w:rPr>
          <w:sz w:val="22"/>
          <w:szCs w:val="22"/>
        </w:rPr>
        <w:t>3.6. В случае отмены торгов по продаже Имущества организатор торгов возвращает сумму внесенного заявителем задатка в течение 3 (трех) рабочих дней со дня принятия решения об отмене торгов.</w:t>
      </w:r>
    </w:p>
    <w:p w:rsidR="001145DA" w:rsidRDefault="001E5682">
      <w:pPr>
        <w:pStyle w:val="a6"/>
        <w:jc w:val="both"/>
      </w:pPr>
      <w:r>
        <w:rPr>
          <w:b w:val="0"/>
          <w:sz w:val="22"/>
          <w:szCs w:val="22"/>
        </w:rPr>
        <w:t>3.7. Внесенный задаток не возвращается в случае, если заявитель, признанный победителем торгов:</w:t>
      </w:r>
    </w:p>
    <w:p w:rsidR="001145DA" w:rsidRDefault="001E5682">
      <w:pPr>
        <w:pStyle w:val="a4"/>
        <w:ind w:firstLine="851"/>
        <w:jc w:val="both"/>
      </w:pPr>
      <w:r>
        <w:rPr>
          <w:b w:val="0"/>
          <w:sz w:val="22"/>
          <w:szCs w:val="22"/>
        </w:rPr>
        <w:t>- уклонится от подписания протокола о результатах торгов, имеющего силу договора, в установленный срок (уклонится от заключения в установленный извещением о проведении торгов срок договора купли-продажи имущества);</w:t>
      </w:r>
    </w:p>
    <w:p w:rsidR="001145DA" w:rsidRDefault="001E5682">
      <w:pPr>
        <w:pStyle w:val="a6"/>
        <w:ind w:firstLine="851"/>
        <w:jc w:val="both"/>
      </w:pPr>
      <w:r>
        <w:rPr>
          <w:b w:val="0"/>
          <w:sz w:val="22"/>
          <w:szCs w:val="22"/>
        </w:rPr>
        <w:t>- уклонится от оплаты продаваемого на торгах имущества в срок, установленный подписанным протоколом о результатах торгов (уклонится от оплаты продаваемого на торгах имущества в срок, установленный заключенным договором купли-продажи имущества).</w:t>
      </w:r>
    </w:p>
    <w:p w:rsidR="001145DA" w:rsidRDefault="001E5682">
      <w:pPr>
        <w:pStyle w:val="a6"/>
        <w:jc w:val="both"/>
      </w:pPr>
      <w:r>
        <w:rPr>
          <w:b w:val="0"/>
          <w:sz w:val="22"/>
          <w:szCs w:val="22"/>
        </w:rPr>
        <w:t xml:space="preserve">3.8. </w:t>
      </w:r>
      <w:proofErr w:type="gramStart"/>
      <w:r>
        <w:rPr>
          <w:b w:val="0"/>
          <w:sz w:val="22"/>
          <w:szCs w:val="22"/>
        </w:rPr>
        <w:t xml:space="preserve">Внесенный Заявителем Задаток засчитывается в счет оплаты приобретаемого на торгах имущества при заключении в установленном порядке договора купли–продажи имущества).   </w:t>
      </w:r>
      <w:proofErr w:type="gramEnd"/>
    </w:p>
    <w:p w:rsidR="001145DA" w:rsidRDefault="001E5682">
      <w:pPr>
        <w:pStyle w:val="a6"/>
        <w:ind w:firstLine="567"/>
        <w:jc w:val="both"/>
        <w:rPr>
          <w:b w:val="0"/>
          <w:sz w:val="22"/>
          <w:szCs w:val="22"/>
        </w:rPr>
      </w:pPr>
      <w:r>
        <w:rPr>
          <w:b w:val="0"/>
          <w:sz w:val="22"/>
          <w:szCs w:val="22"/>
        </w:rPr>
        <w:t xml:space="preserve">  </w:t>
      </w:r>
    </w:p>
    <w:p w:rsidR="001145DA" w:rsidRDefault="001E5682">
      <w:pPr>
        <w:pStyle w:val="a6"/>
      </w:pPr>
      <w:r>
        <w:rPr>
          <w:sz w:val="22"/>
          <w:szCs w:val="22"/>
          <w:lang w:val="en-US"/>
        </w:rPr>
        <w:t>IV</w:t>
      </w:r>
      <w:r>
        <w:rPr>
          <w:sz w:val="22"/>
          <w:szCs w:val="22"/>
        </w:rPr>
        <w:t xml:space="preserve">. Срок действия настоящего договора </w:t>
      </w:r>
    </w:p>
    <w:p w:rsidR="001145DA" w:rsidRDefault="001E5682">
      <w:pPr>
        <w:pStyle w:val="a6"/>
        <w:jc w:val="both"/>
      </w:pPr>
      <w:r>
        <w:rPr>
          <w:b w:val="0"/>
          <w:sz w:val="22"/>
          <w:szCs w:val="22"/>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1145DA" w:rsidRDefault="001E5682">
      <w:pPr>
        <w:pStyle w:val="a6"/>
        <w:jc w:val="both"/>
      </w:pPr>
      <w:r>
        <w:rPr>
          <w:b w:val="0"/>
          <w:sz w:val="22"/>
          <w:szCs w:val="22"/>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в судебном порядке в соответствии с действующим законодательством Российской Федерации.</w:t>
      </w:r>
    </w:p>
    <w:p w:rsidR="001145DA" w:rsidRDefault="001E5682">
      <w:pPr>
        <w:pStyle w:val="a6"/>
        <w:jc w:val="both"/>
      </w:pPr>
      <w:r>
        <w:rPr>
          <w:b w:val="0"/>
          <w:sz w:val="22"/>
          <w:szCs w:val="22"/>
        </w:rPr>
        <w:t>4.3. Настоящий договор составлен в двух экземплярах, имеющих одинаковую юридическую силу, по одному для каждой из сторон.</w:t>
      </w:r>
    </w:p>
    <w:p w:rsidR="001145DA" w:rsidRDefault="001E5682">
      <w:pPr>
        <w:spacing w:before="300"/>
        <w:jc w:val="center"/>
        <w:rPr>
          <w:b/>
          <w:sz w:val="22"/>
          <w:szCs w:val="22"/>
        </w:rPr>
      </w:pPr>
      <w:r>
        <w:rPr>
          <w:b/>
          <w:sz w:val="22"/>
          <w:szCs w:val="22"/>
          <w:lang w:val="en-US"/>
        </w:rPr>
        <w:t>V</w:t>
      </w:r>
      <w:r>
        <w:rPr>
          <w:b/>
          <w:sz w:val="22"/>
          <w:szCs w:val="22"/>
        </w:rPr>
        <w:t>. Адреса и реквизиты Сторон</w:t>
      </w:r>
    </w:p>
    <w:tbl>
      <w:tblPr>
        <w:tblW w:w="9426" w:type="dxa"/>
        <w:tblInd w:w="-70" w:type="dxa"/>
        <w:tblLayout w:type="fixed"/>
        <w:tblCellMar>
          <w:left w:w="0" w:type="dxa"/>
          <w:right w:w="0" w:type="dxa"/>
        </w:tblCellMar>
        <w:tblLook w:val="0000" w:firstRow="0" w:lastRow="0" w:firstColumn="0" w:lastColumn="0" w:noHBand="0" w:noVBand="0"/>
      </w:tblPr>
      <w:tblGrid>
        <w:gridCol w:w="70"/>
        <w:gridCol w:w="4464"/>
        <w:gridCol w:w="214"/>
        <w:gridCol w:w="4489"/>
        <w:gridCol w:w="189"/>
      </w:tblGrid>
      <w:tr w:rsidR="001145DA">
        <w:tc>
          <w:tcPr>
            <w:tcW w:w="70" w:type="dxa"/>
          </w:tcPr>
          <w:p w:rsidR="001145DA" w:rsidRDefault="001145DA">
            <w:pPr>
              <w:pStyle w:val="TableHeading"/>
              <w:rPr>
                <w:b w:val="0"/>
              </w:rPr>
            </w:pPr>
          </w:p>
        </w:tc>
        <w:tc>
          <w:tcPr>
            <w:tcW w:w="4678" w:type="dxa"/>
            <w:gridSpan w:val="2"/>
            <w:tcMar>
              <w:left w:w="108" w:type="dxa"/>
              <w:right w:w="108" w:type="dxa"/>
            </w:tcMar>
          </w:tcPr>
          <w:p w:rsidR="001145DA" w:rsidRDefault="001145DA">
            <w:pPr>
              <w:pStyle w:val="a4"/>
              <w:snapToGrid w:val="0"/>
              <w:rPr>
                <w:bCs/>
              </w:rPr>
            </w:pPr>
          </w:p>
          <w:p w:rsidR="001145DA" w:rsidRDefault="001E5682">
            <w:pPr>
              <w:pStyle w:val="a4"/>
              <w:rPr>
                <w:bCs/>
              </w:rPr>
            </w:pPr>
            <w:r>
              <w:rPr>
                <w:bCs/>
              </w:rPr>
              <w:t>Организатор торгов</w:t>
            </w:r>
          </w:p>
        </w:tc>
        <w:tc>
          <w:tcPr>
            <w:tcW w:w="4678" w:type="dxa"/>
            <w:gridSpan w:val="2"/>
            <w:tcMar>
              <w:left w:w="108" w:type="dxa"/>
              <w:right w:w="108" w:type="dxa"/>
            </w:tcMar>
          </w:tcPr>
          <w:p w:rsidR="001145DA" w:rsidRDefault="001145DA">
            <w:pPr>
              <w:pStyle w:val="ConsNormal"/>
              <w:widowControl/>
              <w:snapToGrid w:val="0"/>
              <w:ind w:firstLine="0"/>
              <w:jc w:val="center"/>
              <w:rPr>
                <w:rFonts w:ascii="Times New Roman" w:hAnsi="Times New Roman" w:cs="Times New Roman"/>
                <w:b/>
                <w:bCs/>
                <w:sz w:val="24"/>
                <w:szCs w:val="24"/>
              </w:rPr>
            </w:pPr>
          </w:p>
          <w:p w:rsidR="001145DA" w:rsidRDefault="001E5682">
            <w:pPr>
              <w:pStyle w:val="Con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Покупатель:</w:t>
            </w:r>
          </w:p>
          <w:p w:rsidR="001145DA" w:rsidRDefault="001145DA">
            <w:pPr>
              <w:pStyle w:val="ConsNormal"/>
              <w:widowControl/>
              <w:ind w:firstLine="0"/>
              <w:jc w:val="center"/>
              <w:rPr>
                <w:rFonts w:ascii="Times New Roman" w:hAnsi="Times New Roman" w:cs="Times New Roman"/>
                <w:b/>
                <w:bCs/>
                <w:sz w:val="24"/>
                <w:szCs w:val="24"/>
              </w:rPr>
            </w:pPr>
          </w:p>
        </w:tc>
      </w:tr>
      <w:tr w:rsidR="001145DA">
        <w:tc>
          <w:tcPr>
            <w:tcW w:w="4534" w:type="dxa"/>
            <w:gridSpan w:val="2"/>
            <w:tcMar>
              <w:left w:w="70" w:type="dxa"/>
              <w:right w:w="70" w:type="dxa"/>
            </w:tcMar>
          </w:tcPr>
          <w:p w:rsidR="001145DA" w:rsidRDefault="001E5682">
            <w:pPr>
              <w:pStyle w:val="a4"/>
              <w:jc w:val="left"/>
              <w:rPr>
                <w:b w:val="0"/>
                <w:bCs/>
                <w:sz w:val="22"/>
                <w:szCs w:val="22"/>
              </w:rPr>
            </w:pPr>
            <w:r>
              <w:rPr>
                <w:bCs/>
                <w:sz w:val="22"/>
                <w:szCs w:val="22"/>
              </w:rPr>
              <w:t xml:space="preserve">Конкурсный управляющий </w:t>
            </w:r>
          </w:p>
          <w:p w:rsidR="001145DA" w:rsidRDefault="001E5682">
            <w:pPr>
              <w:rPr>
                <w:b/>
                <w:sz w:val="22"/>
                <w:szCs w:val="22"/>
              </w:rPr>
            </w:pPr>
            <w:r>
              <w:rPr>
                <w:b/>
                <w:sz w:val="22"/>
                <w:szCs w:val="22"/>
              </w:rPr>
              <w:t>ООО «</w:t>
            </w:r>
            <w:proofErr w:type="spellStart"/>
            <w:r w:rsidR="00487A65">
              <w:rPr>
                <w:b/>
                <w:sz w:val="22"/>
                <w:szCs w:val="22"/>
              </w:rPr>
              <w:t>УгольТэк</w:t>
            </w:r>
            <w:proofErr w:type="spellEnd"/>
            <w:r>
              <w:rPr>
                <w:b/>
                <w:sz w:val="22"/>
                <w:szCs w:val="22"/>
              </w:rPr>
              <w:t>»</w:t>
            </w:r>
          </w:p>
          <w:p w:rsidR="00487A65" w:rsidRDefault="00487A65">
            <w:pPr>
              <w:rPr>
                <w:sz w:val="22"/>
                <w:szCs w:val="22"/>
              </w:rPr>
            </w:pPr>
            <w:r w:rsidRPr="00487A65">
              <w:rPr>
                <w:sz w:val="22"/>
                <w:szCs w:val="22"/>
              </w:rPr>
              <w:t xml:space="preserve">Кемеровская область, </w:t>
            </w:r>
            <w:proofErr w:type="spellStart"/>
            <w:r w:rsidRPr="00487A65">
              <w:rPr>
                <w:sz w:val="22"/>
                <w:szCs w:val="22"/>
              </w:rPr>
              <w:t>г</w:t>
            </w:r>
            <w:proofErr w:type="gramStart"/>
            <w:r w:rsidRPr="00487A65">
              <w:rPr>
                <w:sz w:val="22"/>
                <w:szCs w:val="22"/>
              </w:rPr>
              <w:t>.К</w:t>
            </w:r>
            <w:proofErr w:type="gramEnd"/>
            <w:r w:rsidRPr="00487A65">
              <w:rPr>
                <w:sz w:val="22"/>
                <w:szCs w:val="22"/>
              </w:rPr>
              <w:t>емерово</w:t>
            </w:r>
            <w:proofErr w:type="spellEnd"/>
            <w:r w:rsidRPr="00487A65">
              <w:rPr>
                <w:sz w:val="22"/>
                <w:szCs w:val="22"/>
              </w:rPr>
              <w:t>, ул. Терешковой д. 41 оф. 401</w:t>
            </w:r>
          </w:p>
          <w:p w:rsidR="001145DA" w:rsidRDefault="001E5682">
            <w:pPr>
              <w:rPr>
                <w:sz w:val="22"/>
                <w:szCs w:val="22"/>
              </w:rPr>
            </w:pPr>
            <w:r>
              <w:rPr>
                <w:sz w:val="22"/>
                <w:szCs w:val="22"/>
              </w:rPr>
              <w:t xml:space="preserve"> </w:t>
            </w:r>
            <w:r w:rsidR="00487A65" w:rsidRPr="00487A65">
              <w:rPr>
                <w:sz w:val="22"/>
                <w:szCs w:val="22"/>
              </w:rPr>
              <w:t>ИНН 4205362150 ОГРН 1174205027809</w:t>
            </w:r>
          </w:p>
          <w:p w:rsidR="00487A65" w:rsidRPr="00487A65" w:rsidRDefault="001E5682" w:rsidP="00487A65">
            <w:pPr>
              <w:rPr>
                <w:sz w:val="22"/>
                <w:szCs w:val="22"/>
              </w:rPr>
            </w:pPr>
            <w:r>
              <w:t xml:space="preserve"> </w:t>
            </w:r>
            <w:proofErr w:type="gramStart"/>
            <w:r>
              <w:rPr>
                <w:sz w:val="22"/>
                <w:szCs w:val="22"/>
              </w:rPr>
              <w:t>Р</w:t>
            </w:r>
            <w:proofErr w:type="gramEnd"/>
            <w:r>
              <w:rPr>
                <w:sz w:val="22"/>
                <w:szCs w:val="22"/>
              </w:rPr>
              <w:t xml:space="preserve">\С: </w:t>
            </w:r>
            <w:r w:rsidR="00487A65" w:rsidRPr="00487A65">
              <w:rPr>
                <w:sz w:val="22"/>
                <w:szCs w:val="22"/>
              </w:rPr>
              <w:t>40702 810 9 2600 0000222</w:t>
            </w:r>
          </w:p>
          <w:p w:rsidR="001145DA" w:rsidRDefault="00487A65" w:rsidP="00487A65">
            <w:pPr>
              <w:rPr>
                <w:color w:val="000000"/>
                <w:sz w:val="24"/>
                <w:szCs w:val="24"/>
              </w:rPr>
            </w:pPr>
            <w:r w:rsidRPr="00487A65">
              <w:rPr>
                <w:sz w:val="22"/>
                <w:szCs w:val="22"/>
              </w:rPr>
              <w:t xml:space="preserve">в Кемеровское отделение  № 8615 ПАО СБЕРБАНК, БИК 043207612, </w:t>
            </w:r>
            <w:proofErr w:type="gramStart"/>
            <w:r w:rsidRPr="00487A65">
              <w:rPr>
                <w:sz w:val="22"/>
                <w:szCs w:val="22"/>
              </w:rPr>
              <w:t>К</w:t>
            </w:r>
            <w:proofErr w:type="gramEnd"/>
            <w:r w:rsidRPr="00487A65">
              <w:rPr>
                <w:sz w:val="22"/>
                <w:szCs w:val="22"/>
              </w:rPr>
              <w:t>/С 30101810200000000612</w:t>
            </w:r>
            <w:r w:rsidR="001E5682">
              <w:rPr>
                <w:sz w:val="22"/>
                <w:szCs w:val="22"/>
              </w:rPr>
              <w:t>.</w:t>
            </w:r>
          </w:p>
          <w:p w:rsidR="001145DA" w:rsidRDefault="001E5682">
            <w:pPr>
              <w:rPr>
                <w:b/>
                <w:color w:val="000000"/>
                <w:sz w:val="24"/>
                <w:szCs w:val="24"/>
              </w:rPr>
            </w:pPr>
            <w:r>
              <w:rPr>
                <w:b/>
                <w:color w:val="000000"/>
                <w:sz w:val="24"/>
                <w:szCs w:val="24"/>
              </w:rPr>
              <w:t xml:space="preserve">Адрес Конкурсного управляющего: </w:t>
            </w:r>
          </w:p>
          <w:p w:rsidR="001145DA" w:rsidRDefault="001E5682">
            <w:r>
              <w:rPr>
                <w:b/>
                <w:color w:val="000000"/>
                <w:sz w:val="24"/>
                <w:szCs w:val="24"/>
              </w:rPr>
              <w:t xml:space="preserve">650000г. Кемерово, ул. </w:t>
            </w:r>
            <w:proofErr w:type="gramStart"/>
            <w:r>
              <w:rPr>
                <w:b/>
                <w:color w:val="000000"/>
                <w:sz w:val="24"/>
                <w:szCs w:val="24"/>
              </w:rPr>
              <w:t>Весенняя</w:t>
            </w:r>
            <w:proofErr w:type="gramEnd"/>
            <w:r>
              <w:rPr>
                <w:b/>
                <w:color w:val="000000"/>
                <w:sz w:val="24"/>
                <w:szCs w:val="24"/>
              </w:rPr>
              <w:t>, 7-23</w:t>
            </w:r>
          </w:p>
          <w:p w:rsidR="001145DA" w:rsidRDefault="001145DA">
            <w:pPr>
              <w:spacing w:after="120"/>
              <w:rPr>
                <w:b/>
                <w:color w:val="000000"/>
                <w:sz w:val="24"/>
                <w:szCs w:val="24"/>
              </w:rPr>
            </w:pPr>
          </w:p>
        </w:tc>
        <w:tc>
          <w:tcPr>
            <w:tcW w:w="4703" w:type="dxa"/>
            <w:gridSpan w:val="2"/>
            <w:tcMar>
              <w:left w:w="70" w:type="dxa"/>
              <w:right w:w="70" w:type="dxa"/>
            </w:tcMar>
          </w:tcPr>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E5682">
            <w:pPr>
              <w:spacing w:after="120"/>
              <w:rPr>
                <w:b/>
                <w:bCs/>
              </w:rPr>
            </w:pPr>
            <w:r>
              <w:rPr>
                <w:b/>
                <w:bCs/>
              </w:rPr>
              <w:t>___________________________________________</w:t>
            </w:r>
          </w:p>
          <w:p w:rsidR="001145DA" w:rsidRDefault="001145DA">
            <w:pPr>
              <w:rPr>
                <w:b/>
                <w:bCs/>
              </w:rPr>
            </w:pPr>
          </w:p>
        </w:tc>
        <w:tc>
          <w:tcPr>
            <w:tcW w:w="189" w:type="dxa"/>
          </w:tcPr>
          <w:p w:rsidR="001145DA" w:rsidRDefault="001145DA">
            <w:pPr>
              <w:snapToGrid w:val="0"/>
            </w:pPr>
          </w:p>
        </w:tc>
      </w:tr>
      <w:tr w:rsidR="001145DA">
        <w:tc>
          <w:tcPr>
            <w:tcW w:w="4534" w:type="dxa"/>
            <w:gridSpan w:val="2"/>
            <w:tcMar>
              <w:left w:w="108" w:type="dxa"/>
              <w:right w:w="108" w:type="dxa"/>
            </w:tcMar>
          </w:tcPr>
          <w:p w:rsidR="001145DA" w:rsidRDefault="001E5682">
            <w:pPr>
              <w:spacing w:after="120"/>
              <w:rPr>
                <w:b/>
                <w:bCs/>
                <w:sz w:val="22"/>
                <w:szCs w:val="22"/>
              </w:rPr>
            </w:pPr>
            <w:bookmarkStart w:id="1" w:name="BITSoft"/>
            <w:bookmarkEnd w:id="1"/>
            <w:r>
              <w:rPr>
                <w:b/>
                <w:bCs/>
                <w:sz w:val="22"/>
                <w:szCs w:val="22"/>
              </w:rPr>
              <w:t xml:space="preserve">Конкурсный управляющий </w:t>
            </w:r>
          </w:p>
          <w:p w:rsidR="001145DA" w:rsidRDefault="001E5682">
            <w:pPr>
              <w:spacing w:after="120"/>
            </w:pPr>
            <w:proofErr w:type="spellStart"/>
            <w:r>
              <w:rPr>
                <w:b/>
                <w:bCs/>
                <w:sz w:val="22"/>
                <w:szCs w:val="22"/>
              </w:rPr>
              <w:t>Санжаревский</w:t>
            </w:r>
            <w:proofErr w:type="spellEnd"/>
            <w:r>
              <w:rPr>
                <w:b/>
                <w:bCs/>
                <w:sz w:val="22"/>
                <w:szCs w:val="22"/>
              </w:rPr>
              <w:t xml:space="preserve"> Евгений Всеволодович</w:t>
            </w:r>
            <w:r>
              <w:rPr>
                <w:sz w:val="22"/>
                <w:szCs w:val="22"/>
              </w:rPr>
              <w:t xml:space="preserve">                                         </w:t>
            </w:r>
          </w:p>
          <w:p w:rsidR="001145DA" w:rsidRDefault="001E5682">
            <w:r>
              <w:t>____________________</w:t>
            </w:r>
          </w:p>
          <w:p w:rsidR="001145DA" w:rsidRDefault="001E5682">
            <w:proofErr w:type="spellStart"/>
            <w:r>
              <w:t>м.п</w:t>
            </w:r>
            <w:proofErr w:type="spellEnd"/>
            <w:r>
              <w:t>.</w:t>
            </w:r>
          </w:p>
        </w:tc>
        <w:tc>
          <w:tcPr>
            <w:tcW w:w="4703" w:type="dxa"/>
            <w:gridSpan w:val="2"/>
            <w:tcMar>
              <w:left w:w="108" w:type="dxa"/>
              <w:right w:w="108" w:type="dxa"/>
            </w:tcMar>
          </w:tcPr>
          <w:p w:rsidR="001145DA" w:rsidRDefault="001145DA">
            <w:pPr>
              <w:snapToGrid w:val="0"/>
              <w:jc w:val="center"/>
              <w:rPr>
                <w:b/>
                <w:bCs/>
                <w:sz w:val="24"/>
                <w:szCs w:val="24"/>
              </w:rPr>
            </w:pPr>
          </w:p>
          <w:p w:rsidR="001145DA" w:rsidRDefault="001145DA">
            <w:pPr>
              <w:jc w:val="center"/>
              <w:rPr>
                <w:b/>
                <w:bCs/>
                <w:sz w:val="24"/>
                <w:szCs w:val="24"/>
              </w:rPr>
            </w:pPr>
          </w:p>
          <w:p w:rsidR="001145DA" w:rsidRDefault="001E5682">
            <w:pPr>
              <w:jc w:val="center"/>
              <w:rPr>
                <w:b/>
                <w:bCs/>
                <w:sz w:val="24"/>
                <w:szCs w:val="24"/>
              </w:rPr>
            </w:pPr>
            <w:r>
              <w:rPr>
                <w:b/>
                <w:bCs/>
                <w:sz w:val="24"/>
                <w:szCs w:val="24"/>
              </w:rPr>
              <w:t>____________ _______________________</w:t>
            </w:r>
          </w:p>
          <w:p w:rsidR="001145DA" w:rsidRDefault="001E5682">
            <w:proofErr w:type="spellStart"/>
            <w:r>
              <w:t>м.п</w:t>
            </w:r>
            <w:proofErr w:type="spellEnd"/>
            <w:r>
              <w:t>.</w:t>
            </w:r>
          </w:p>
        </w:tc>
        <w:tc>
          <w:tcPr>
            <w:tcW w:w="189" w:type="dxa"/>
          </w:tcPr>
          <w:p w:rsidR="001145DA" w:rsidRDefault="001145DA">
            <w:pPr>
              <w:snapToGrid w:val="0"/>
            </w:pPr>
          </w:p>
        </w:tc>
      </w:tr>
    </w:tbl>
    <w:p w:rsidR="001145DA" w:rsidRDefault="001145DA">
      <w:pPr>
        <w:ind w:left="851"/>
        <w:jc w:val="both"/>
        <w:rPr>
          <w:b/>
          <w:bCs/>
          <w:sz w:val="22"/>
          <w:szCs w:val="22"/>
        </w:rPr>
      </w:pPr>
    </w:p>
    <w:p w:rsidR="001145DA" w:rsidRDefault="001145DA">
      <w:pPr>
        <w:rPr>
          <w:b/>
          <w:bCs/>
          <w:sz w:val="22"/>
          <w:szCs w:val="22"/>
        </w:rPr>
      </w:pPr>
    </w:p>
    <w:sectPr w:rsidR="001145DA">
      <w:headerReference w:type="default" r:id="rId8"/>
      <w:footerReference w:type="default" r:id="rId9"/>
      <w:headerReference w:type="first" r:id="rId10"/>
      <w:footerReference w:type="first" r:id="rId11"/>
      <w:pgSz w:w="11906" w:h="16838"/>
      <w:pgMar w:top="623" w:right="624" w:bottom="623" w:left="964"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D0" w:rsidRDefault="00C734D0">
      <w:r>
        <w:separator/>
      </w:r>
    </w:p>
  </w:endnote>
  <w:endnote w:type="continuationSeparator" w:id="0">
    <w:p w:rsidR="00C734D0" w:rsidRDefault="00C7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A" w:rsidRDefault="001E5682">
    <w:pPr>
      <w:pStyle w:val="a7"/>
      <w:ind w:right="360"/>
    </w:pPr>
    <w:r>
      <w:rPr>
        <w:noProof/>
        <w:lang w:eastAsia="ru-RU"/>
      </w:rPr>
      <mc:AlternateContent>
        <mc:Choice Requires="wps">
          <w:drawing>
            <wp:anchor distT="0" distB="0" distL="0" distR="0" simplePos="0" relativeHeight="3" behindDoc="0" locked="0" layoutInCell="0" allowOverlap="1">
              <wp:simplePos x="0" y="0"/>
              <wp:positionH relativeFrom="margin">
                <wp:align>right</wp:align>
              </wp:positionH>
              <wp:positionV relativeFrom="paragraph">
                <wp:posOffset>635</wp:posOffset>
              </wp:positionV>
              <wp:extent cx="14605" cy="14795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7955"/>
                      </a:xfrm>
                      <a:prstGeom prst="rect">
                        <a:avLst/>
                      </a:prstGeom>
                      <a:solidFill>
                        <a:srgbClr val="FFFFFF">
                          <a:alpha val="0"/>
                        </a:srgbClr>
                      </a:solidFill>
                    </wps:spPr>
                    <wps:txbx>
                      <w:txbxContent>
                        <w:p w:rsidR="001145DA" w:rsidRDefault="001145DA">
                          <w:pPr>
                            <w:pStyle w:val="a7"/>
                            <w:rPr>
                              <w:rStyle w:val="a3"/>
                            </w:rPr>
                          </w:pPr>
                        </w:p>
                      </w:txbxContent>
                    </wps:txbx>
                    <wps:bodyPr lIns="0" tIns="0" rIns="0" bIns="0" anchor="t">
                      <a:noAutofit/>
                    </wps:bodyPr>
                  </wps:wsp>
                </a:graphicData>
              </a:graphic>
            </wp:anchor>
          </w:drawing>
        </mc:Choice>
        <mc:Fallback xmlns:w15="http://schemas.microsoft.com/office/word/2012/wordml">
          <w:pict>
            <v:rect fillcolor="#FFFFFF" style="position:absolute;rotation:-0;width:1.15pt;height:11.65pt;mso-wrap-distance-left:0pt;mso-wrap-distance-right:0pt;mso-wrap-distance-top:0pt;mso-wrap-distance-bottom:0pt;margin-top:0.05pt;mso-position-vertical-relative:text;margin-left:514.75pt;mso-position-horizontal:right;mso-position-horizontal-relative:margin">
              <v:fill opacity="0f"/>
              <v:textbox inset="0in,0in,0in,0in">
                <w:txbxContent>
                  <w:p>
                    <w:pPr>
                      <w:pStyle w:val="Footer"/>
                      <w:rPr>
                        <w:rStyle w:val="PageNumber"/>
                      </w:rPr>
                    </w:pPr>
                    <w:r>
                      <w:rPr/>
                    </w: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A" w:rsidRDefault="001145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D0" w:rsidRDefault="00C734D0">
      <w:r>
        <w:separator/>
      </w:r>
    </w:p>
  </w:footnote>
  <w:footnote w:type="continuationSeparator" w:id="0">
    <w:p w:rsidR="00C734D0" w:rsidRDefault="00C73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A" w:rsidRDefault="001E5682">
    <w:pPr>
      <w:pStyle w:val="a9"/>
    </w:pPr>
    <w:r>
      <w:rPr>
        <w:noProof/>
        <w:lang w:eastAsia="ru-RU"/>
      </w:rPr>
      <mc:AlternateContent>
        <mc:Choice Requires="wps">
          <w:drawing>
            <wp:anchor distT="0" distB="0" distL="0" distR="0" simplePos="0" relativeHeight="5" behindDoc="0" locked="0" layoutInCell="0" allowOverlap="1">
              <wp:simplePos x="0" y="0"/>
              <wp:positionH relativeFrom="margin">
                <wp:align>center</wp:align>
              </wp:positionH>
              <wp:positionV relativeFrom="paragraph">
                <wp:posOffset>635</wp:posOffset>
              </wp:positionV>
              <wp:extent cx="81280" cy="147955"/>
              <wp:effectExtent l="0" t="0" r="0" b="0"/>
              <wp:wrapSquare wrapText="largest"/>
              <wp:docPr id="1" name="Frame2"/>
              <wp:cNvGraphicFramePr/>
              <a:graphic xmlns:a="http://schemas.openxmlformats.org/drawingml/2006/main">
                <a:graphicData uri="http://schemas.microsoft.com/office/word/2010/wordprocessingShape">
                  <wps:wsp>
                    <wps:cNvSpPr txBox="1"/>
                    <wps:spPr>
                      <a:xfrm>
                        <a:off x="0" y="0"/>
                        <a:ext cx="81280" cy="147955"/>
                      </a:xfrm>
                      <a:prstGeom prst="rect">
                        <a:avLst/>
                      </a:prstGeom>
                      <a:solidFill>
                        <a:srgbClr val="FFFFFF">
                          <a:alpha val="0"/>
                        </a:srgbClr>
                      </a:solidFill>
                    </wps:spPr>
                    <wps:txbx>
                      <w:txbxContent>
                        <w:p w:rsidR="001145DA" w:rsidRDefault="001E5682">
                          <w:pPr>
                            <w:pStyle w:val="a9"/>
                            <w:rPr>
                              <w:rStyle w:val="a3"/>
                            </w:rPr>
                          </w:pPr>
                          <w:r>
                            <w:rPr>
                              <w:rStyle w:val="a3"/>
                            </w:rPr>
                            <w:fldChar w:fldCharType="begin"/>
                          </w:r>
                          <w:r>
                            <w:rPr>
                              <w:rStyle w:val="a3"/>
                            </w:rPr>
                            <w:instrText xml:space="preserve"> PAGE </w:instrText>
                          </w:r>
                          <w:r>
                            <w:rPr>
                              <w:rStyle w:val="a3"/>
                            </w:rPr>
                            <w:fldChar w:fldCharType="separate"/>
                          </w:r>
                          <w:r w:rsidR="000B2E6E">
                            <w:rPr>
                              <w:rStyle w:val="a3"/>
                              <w:noProof/>
                            </w:rPr>
                            <w:t>2</w:t>
                          </w:r>
                          <w:r>
                            <w:rPr>
                              <w:rStyle w:val="a3"/>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margin-left:0;margin-top:.05pt;width:6.4pt;height:11.65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" o:allowincell="f" stroked="f">
              <v:fill opacity="0"/>
              <v:textbox inset="0,0,0,0">
                <w:txbxContent>
                  <w:p w:rsidR="001145DA" w:rsidRDefault="001E5682">
                    <w:pPr>
                      <w:pStyle w:val="a9"/>
                      <w:rPr>
                        <w:rStyle w:val="a3"/>
                      </w:rPr>
                    </w:pPr>
                    <w:r>
                      <w:rPr>
                        <w:rStyle w:val="a3"/>
                      </w:rPr>
                      <w:fldChar w:fldCharType="begin"/>
                    </w:r>
                    <w:r>
                      <w:rPr>
                        <w:rStyle w:val="a3"/>
                      </w:rPr>
                      <w:instrText xml:space="preserve"> PAGE </w:instrText>
                    </w:r>
                    <w:r>
                      <w:rPr>
                        <w:rStyle w:val="a3"/>
                      </w:rPr>
                      <w:fldChar w:fldCharType="separate"/>
                    </w:r>
                    <w:r w:rsidR="000B2E6E">
                      <w:rPr>
                        <w:rStyle w:val="a3"/>
                        <w:noProof/>
                      </w:rPr>
                      <w:t>2</w:t>
                    </w:r>
                    <w:r>
                      <w:rPr>
                        <w:rStyle w:val="a3"/>
                      </w:rPr>
                      <w:fldChar w:fldCharType="end"/>
                    </w:r>
                  </w:p>
                </w:txbxContent>
              </v:textbox>
              <w10:wrap type="square" side="largest" anchorx="margin"/>
            </v:shape>
          </w:pict>
        </mc:Fallback>
      </mc:AlternateContent>
    </w:r>
  </w:p>
  <w:p w:rsidR="001145DA" w:rsidRDefault="001145D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DA" w:rsidRDefault="001145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F5EF6"/>
    <w:multiLevelType w:val="multilevel"/>
    <w:tmpl w:val="7ACA2FD6"/>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1145DA"/>
    <w:rsid w:val="000B2E6E"/>
    <w:rsid w:val="001145DA"/>
    <w:rsid w:val="001E5682"/>
    <w:rsid w:val="00487A65"/>
    <w:rsid w:val="00C7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0"/>
      <w:szCs w:val="20"/>
      <w:lang w:val="ru-RU" w:bidi="ar-SA"/>
    </w:rPr>
  </w:style>
  <w:style w:type="paragraph" w:styleId="2">
    <w:name w:val="heading 2"/>
    <w:basedOn w:val="a"/>
    <w:next w:val="a"/>
    <w:qFormat/>
    <w:pPr>
      <w:keepNext/>
      <w:numPr>
        <w:ilvl w:val="1"/>
        <w:numId w:val="1"/>
      </w:numPr>
      <w:jc w:val="both"/>
      <w:outlineLvl w:val="1"/>
    </w:pPr>
    <w:rPr>
      <w:b/>
      <w:i/>
      <w:sz w:val="24"/>
    </w:rPr>
  </w:style>
  <w:style w:type="paragraph" w:styleId="3">
    <w:name w:val="heading 3"/>
    <w:basedOn w:val="a"/>
    <w:next w:val="a"/>
    <w:qFormat/>
    <w:pPr>
      <w:keepNext/>
      <w:numPr>
        <w:ilvl w:val="2"/>
        <w:numId w:val="1"/>
      </w:numPr>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styleId="a3">
    <w:name w:val="page number"/>
    <w:basedOn w:val="a0"/>
  </w:style>
  <w:style w:type="paragraph" w:customStyle="1" w:styleId="Heading">
    <w:name w:val="Heading"/>
    <w:basedOn w:val="a"/>
    <w:next w:val="a4"/>
    <w:qFormat/>
    <w:pPr>
      <w:jc w:val="center"/>
    </w:pPr>
    <w:rPr>
      <w:b/>
      <w:sz w:val="28"/>
    </w:rPr>
  </w:style>
  <w:style w:type="paragraph" w:styleId="a4">
    <w:name w:val="Body Text"/>
    <w:basedOn w:val="a"/>
    <w:pPr>
      <w:jc w:val="center"/>
    </w:pPr>
    <w:rPr>
      <w:b/>
      <w:sz w:val="24"/>
    </w:rPr>
  </w:style>
  <w:style w:type="paragraph" w:styleId="a5">
    <w:name w:val="List"/>
    <w:basedOn w:val="a4"/>
  </w:style>
  <w:style w:type="paragraph" w:styleId="a6">
    <w:name w:val="caption"/>
    <w:basedOn w:val="a"/>
    <w:qFormat/>
    <w:pPr>
      <w:jc w:val="center"/>
    </w:pPr>
    <w:rPr>
      <w:b/>
      <w:sz w:val="28"/>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styleId="a7">
    <w:name w:val="footer"/>
    <w:basedOn w:val="a"/>
    <w:pPr>
      <w:tabs>
        <w:tab w:val="center" w:pos="4153"/>
        <w:tab w:val="right" w:pos="8306"/>
      </w:tabs>
    </w:pPr>
  </w:style>
  <w:style w:type="paragraph" w:styleId="a8">
    <w:name w:val="Body Text Indent"/>
    <w:basedOn w:val="a"/>
    <w:pPr>
      <w:ind w:firstLine="567"/>
      <w:jc w:val="both"/>
    </w:pPr>
    <w:rPr>
      <w:sz w:val="24"/>
    </w:rPr>
  </w:style>
  <w:style w:type="paragraph" w:styleId="a9">
    <w:name w:val="header"/>
    <w:basedOn w:val="a"/>
    <w:pPr>
      <w:tabs>
        <w:tab w:val="center" w:pos="4677"/>
        <w:tab w:val="right" w:pos="9355"/>
      </w:tabs>
    </w:pPr>
  </w:style>
  <w:style w:type="paragraph" w:customStyle="1" w:styleId="ConsNormal">
    <w:name w:val="ConsNormal"/>
    <w:qFormat/>
    <w:pPr>
      <w:widowControl w:val="0"/>
      <w:ind w:firstLine="720"/>
    </w:pPr>
    <w:rPr>
      <w:rFonts w:ascii="Arial" w:eastAsia="Calibri" w:hAnsi="Arial" w:cs="Arial"/>
      <w:sz w:val="20"/>
      <w:szCs w:val="20"/>
      <w:lang w:val="ru-RU" w:bidi="ar-SA"/>
    </w:rPr>
  </w:style>
  <w:style w:type="paragraph" w:customStyle="1" w:styleId="ConsPlusNonformat">
    <w:name w:val="ConsPlusNonformat"/>
    <w:qFormat/>
    <w:pPr>
      <w:widowControl w:val="0"/>
      <w:autoSpaceDE w:val="0"/>
    </w:pPr>
    <w:rPr>
      <w:rFonts w:ascii="Courier New" w:eastAsia="Calibri" w:hAnsi="Courier New" w:cs="Courier New"/>
      <w:sz w:val="20"/>
      <w:szCs w:val="20"/>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erif" w:eastAsia="DejaVu Sans" w:hAnsi="DejaVu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0"/>
      <w:szCs w:val="20"/>
      <w:lang w:val="ru-RU" w:bidi="ar-SA"/>
    </w:rPr>
  </w:style>
  <w:style w:type="paragraph" w:styleId="2">
    <w:name w:val="heading 2"/>
    <w:basedOn w:val="a"/>
    <w:next w:val="a"/>
    <w:qFormat/>
    <w:pPr>
      <w:keepNext/>
      <w:numPr>
        <w:ilvl w:val="1"/>
        <w:numId w:val="1"/>
      </w:numPr>
      <w:jc w:val="both"/>
      <w:outlineLvl w:val="1"/>
    </w:pPr>
    <w:rPr>
      <w:b/>
      <w:i/>
      <w:sz w:val="24"/>
    </w:rPr>
  </w:style>
  <w:style w:type="paragraph" w:styleId="3">
    <w:name w:val="heading 3"/>
    <w:basedOn w:val="a"/>
    <w:next w:val="a"/>
    <w:qFormat/>
    <w:pPr>
      <w:keepNext/>
      <w:numPr>
        <w:ilvl w:val="2"/>
        <w:numId w:val="1"/>
      </w:numPr>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styleId="a3">
    <w:name w:val="page number"/>
    <w:basedOn w:val="a0"/>
  </w:style>
  <w:style w:type="paragraph" w:customStyle="1" w:styleId="Heading">
    <w:name w:val="Heading"/>
    <w:basedOn w:val="a"/>
    <w:next w:val="a4"/>
    <w:qFormat/>
    <w:pPr>
      <w:jc w:val="center"/>
    </w:pPr>
    <w:rPr>
      <w:b/>
      <w:sz w:val="28"/>
    </w:rPr>
  </w:style>
  <w:style w:type="paragraph" w:styleId="a4">
    <w:name w:val="Body Text"/>
    <w:basedOn w:val="a"/>
    <w:pPr>
      <w:jc w:val="center"/>
    </w:pPr>
    <w:rPr>
      <w:b/>
      <w:sz w:val="24"/>
    </w:rPr>
  </w:style>
  <w:style w:type="paragraph" w:styleId="a5">
    <w:name w:val="List"/>
    <w:basedOn w:val="a4"/>
  </w:style>
  <w:style w:type="paragraph" w:styleId="a6">
    <w:name w:val="caption"/>
    <w:basedOn w:val="a"/>
    <w:qFormat/>
    <w:pPr>
      <w:jc w:val="center"/>
    </w:pPr>
    <w:rPr>
      <w:b/>
      <w:sz w:val="28"/>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styleId="a7">
    <w:name w:val="footer"/>
    <w:basedOn w:val="a"/>
    <w:pPr>
      <w:tabs>
        <w:tab w:val="center" w:pos="4153"/>
        <w:tab w:val="right" w:pos="8306"/>
      </w:tabs>
    </w:pPr>
  </w:style>
  <w:style w:type="paragraph" w:styleId="a8">
    <w:name w:val="Body Text Indent"/>
    <w:basedOn w:val="a"/>
    <w:pPr>
      <w:ind w:firstLine="567"/>
      <w:jc w:val="both"/>
    </w:pPr>
    <w:rPr>
      <w:sz w:val="24"/>
    </w:rPr>
  </w:style>
  <w:style w:type="paragraph" w:styleId="a9">
    <w:name w:val="header"/>
    <w:basedOn w:val="a"/>
    <w:pPr>
      <w:tabs>
        <w:tab w:val="center" w:pos="4677"/>
        <w:tab w:val="right" w:pos="9355"/>
      </w:tabs>
    </w:pPr>
  </w:style>
  <w:style w:type="paragraph" w:customStyle="1" w:styleId="ConsNormal">
    <w:name w:val="ConsNormal"/>
    <w:qFormat/>
    <w:pPr>
      <w:widowControl w:val="0"/>
      <w:ind w:firstLine="720"/>
    </w:pPr>
    <w:rPr>
      <w:rFonts w:ascii="Arial" w:eastAsia="Calibri" w:hAnsi="Arial" w:cs="Arial"/>
      <w:sz w:val="20"/>
      <w:szCs w:val="20"/>
      <w:lang w:val="ru-RU" w:bidi="ar-SA"/>
    </w:rPr>
  </w:style>
  <w:style w:type="paragraph" w:customStyle="1" w:styleId="ConsPlusNonformat">
    <w:name w:val="ConsPlusNonformat"/>
    <w:qFormat/>
    <w:pPr>
      <w:widowControl w:val="0"/>
      <w:autoSpaceDE w:val="0"/>
    </w:pPr>
    <w:rPr>
      <w:rFonts w:ascii="Courier New" w:eastAsia="Calibri" w:hAnsi="Courier New" w:cs="Courier New"/>
      <w:sz w:val="20"/>
      <w:szCs w:val="20"/>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________</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________</dc:title>
  <dc:creator>Главный компьютер офиса</dc:creator>
  <cp:lastModifiedBy>Евгений</cp:lastModifiedBy>
  <cp:revision>2</cp:revision>
  <cp:lastPrinted>2010-10-19T10:02:00Z</cp:lastPrinted>
  <dcterms:created xsi:type="dcterms:W3CDTF">2026-05-27T03:29:00Z</dcterms:created>
  <dcterms:modified xsi:type="dcterms:W3CDTF">2026-05-27T03:29:00Z</dcterms:modified>
  <dc:language>en-US</dc:language>
</cp:coreProperties>
</file>