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777777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554A63" w:rsidRPr="00694657">
        <w:rPr>
          <w:rFonts w:ascii="Times New Roman" w:hAnsi="Times New Roman" w:cs="Times New Roman"/>
        </w:rPr>
        <w:t xml:space="preserve"> 20_</w:t>
      </w:r>
      <w:r w:rsidR="0038031E">
        <w:rPr>
          <w:rFonts w:ascii="Times New Roman" w:hAnsi="Times New Roman" w:cs="Times New Roman"/>
        </w:rPr>
        <w:t>_</w:t>
      </w:r>
      <w:r w:rsidR="00554A63" w:rsidRPr="00694657">
        <w:rPr>
          <w:rFonts w:ascii="Times New Roman" w:hAnsi="Times New Roman" w:cs="Times New Roman"/>
        </w:rPr>
        <w:t>_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E3115FE" w14:textId="77777777" w:rsidR="00972D1A" w:rsidRPr="00694657" w:rsidRDefault="005B7E30" w:rsidP="00CE7CE8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38031E">
        <w:rPr>
          <w:rFonts w:ascii="Times New Roman" w:hAnsi="Times New Roman" w:cs="Times New Roman"/>
        </w:rPr>
        <w:t>____________________________________</w:t>
      </w:r>
      <w:r w:rsidR="00972D1A" w:rsidRPr="00694657">
        <w:rPr>
          <w:rFonts w:ascii="Times New Roman" w:hAnsi="Times New Roman" w:cs="Times New Roman"/>
        </w:rPr>
        <w:t>_________</w:t>
      </w:r>
      <w:r w:rsidR="0038031E">
        <w:rPr>
          <w:rFonts w:ascii="Times New Roman" w:hAnsi="Times New Roman" w:cs="Times New Roman"/>
        </w:rPr>
        <w:t>_________________</w:t>
      </w:r>
    </w:p>
    <w:p w14:paraId="6C259DEB" w14:textId="77777777" w:rsidR="00972D1A" w:rsidRDefault="00972D1A" w:rsidP="0092757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торгов</w:t>
      </w:r>
      <w:r w:rsidR="00BA4F8B">
        <w:rPr>
          <w:rFonts w:ascii="Times New Roman" w:hAnsi="Times New Roman" w:cs="Times New Roman"/>
        </w:rPr>
        <w:t>»</w:t>
      </w:r>
      <w:r w:rsidRPr="00694657">
        <w:rPr>
          <w:rFonts w:ascii="Times New Roman" w:hAnsi="Times New Roman" w:cs="Times New Roman"/>
        </w:rPr>
        <w:t>, в лице ________________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заключили настоящий</w:t>
      </w:r>
      <w:r w:rsidR="00CE7CE8">
        <w:rPr>
          <w:rFonts w:ascii="Times New Roman" w:hAnsi="Times New Roman" w:cs="Times New Roman"/>
        </w:rPr>
        <w:t xml:space="preserve"> </w:t>
      </w:r>
      <w:proofErr w:type="spellStart"/>
      <w:r w:rsidRPr="00694657">
        <w:rPr>
          <w:rFonts w:ascii="Times New Roman" w:hAnsi="Times New Roman" w:cs="Times New Roman"/>
        </w:rPr>
        <w:t>настоящий</w:t>
      </w:r>
      <w:proofErr w:type="spellEnd"/>
      <w:r w:rsidRPr="00694657">
        <w:rPr>
          <w:rFonts w:ascii="Times New Roman" w:hAnsi="Times New Roman" w:cs="Times New Roman"/>
        </w:rPr>
        <w:t xml:space="preserve"> договор о нижеследующем: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77777777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№ __________, назначенных на _________________20__ г. __ часов ___ минут по московскому времени по продаже имущества выставляемого лотом № ____ (далее объект торгов), а именно :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продажи______________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расчетный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порядку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предоставлению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. ПОРЯДОК ПЕРЕЧИСЛЕНИЯ ЗАДАТКА ПОБЕДИТЕЛЯ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7777777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электронной форме при продаже имущества, в ходе процедур, применяемых в деле о банкротстве,</w:t>
      </w:r>
      <w:r w:rsidR="00264360" w:rsidRPr="00694657">
        <w:rPr>
          <w:rFonts w:ascii="Times New Roman" w:hAnsi="Times New Roman" w:cs="Times New Roman"/>
        </w:rPr>
        <w:t xml:space="preserve"> а также </w:t>
      </w:r>
      <w:r w:rsidR="000A0AB3" w:rsidRPr="00694657">
        <w:rPr>
          <w:rFonts w:ascii="Times New Roman" w:hAnsi="Times New Roman" w:cs="Times New Roman"/>
        </w:rPr>
        <w:t>участнику</w:t>
      </w:r>
      <w:r>
        <w:rPr>
          <w:rFonts w:ascii="Times New Roman" w:hAnsi="Times New Roman" w:cs="Times New Roman"/>
        </w:rPr>
        <w:t xml:space="preserve"> – юридическому лицу</w:t>
      </w:r>
      <w:r w:rsidR="000A0AB3" w:rsidRPr="00694657">
        <w:rPr>
          <w:rFonts w:ascii="Times New Roman" w:hAnsi="Times New Roman" w:cs="Times New Roman"/>
        </w:rPr>
        <w:t>,</w:t>
      </w:r>
      <w:r w:rsidR="00264360" w:rsidRPr="00694657">
        <w:rPr>
          <w:rFonts w:ascii="Times New Roman" w:hAnsi="Times New Roman" w:cs="Times New Roman"/>
        </w:rPr>
        <w:t xml:space="preserve"> </w:t>
      </w:r>
      <w:r w:rsidR="000A0AB3" w:rsidRPr="00694657">
        <w:rPr>
          <w:rFonts w:ascii="Times New Roman" w:hAnsi="Times New Roman" w:cs="Times New Roman"/>
        </w:rPr>
        <w:t>отказавшемуся от</w:t>
      </w:r>
      <w:r w:rsidR="00264360" w:rsidRPr="00694657">
        <w:rPr>
          <w:rFonts w:ascii="Times New Roman" w:hAnsi="Times New Roman" w:cs="Times New Roman"/>
        </w:rPr>
        <w:t xml:space="preserve"> заключ</w:t>
      </w:r>
      <w:r w:rsidR="000A0AB3" w:rsidRPr="00694657">
        <w:rPr>
          <w:rFonts w:ascii="Times New Roman" w:hAnsi="Times New Roman" w:cs="Times New Roman"/>
        </w:rPr>
        <w:t>ения</w:t>
      </w:r>
      <w:r w:rsidR="00264360" w:rsidRPr="00694657">
        <w:rPr>
          <w:rFonts w:ascii="Times New Roman" w:hAnsi="Times New Roman" w:cs="Times New Roman"/>
        </w:rPr>
        <w:t xml:space="preserve"> договор</w:t>
      </w:r>
      <w:r w:rsidR="000A0AB3" w:rsidRPr="00694657">
        <w:rPr>
          <w:rFonts w:ascii="Times New Roman" w:hAnsi="Times New Roman" w:cs="Times New Roman"/>
        </w:rPr>
        <w:t>а</w:t>
      </w:r>
      <w:r w:rsidR="00264360" w:rsidRPr="00694657">
        <w:rPr>
          <w:rFonts w:ascii="Times New Roman" w:hAnsi="Times New Roman" w:cs="Times New Roman"/>
        </w:rPr>
        <w:t xml:space="preserve"> купли-продажи имущества, в случае признания его единственным участником торгов,</w:t>
      </w:r>
      <w:r w:rsidR="0092757E" w:rsidRPr="00694657">
        <w:rPr>
          <w:rFonts w:ascii="Times New Roman" w:hAnsi="Times New Roman" w:cs="Times New Roman"/>
        </w:rPr>
        <w:t xml:space="preserve"> гарантируется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77777777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электронной форме при продаже имущества, в ходе процедур, применяемых в деле о банкротстве, а также участнику</w:t>
      </w:r>
      <w:r>
        <w:rPr>
          <w:rFonts w:ascii="Times New Roman" w:hAnsi="Times New Roman" w:cs="Times New Roman"/>
        </w:rPr>
        <w:t xml:space="preserve"> – </w:t>
      </w:r>
      <w:r w:rsidR="00DE0F18">
        <w:rPr>
          <w:rFonts w:ascii="Times New Roman" w:hAnsi="Times New Roman" w:cs="Times New Roman"/>
        </w:rPr>
        <w:t>физическому</w:t>
      </w:r>
      <w:r>
        <w:rPr>
          <w:rFonts w:ascii="Times New Roman" w:hAnsi="Times New Roman" w:cs="Times New Roman"/>
        </w:rPr>
        <w:t xml:space="preserve"> лицу</w:t>
      </w:r>
      <w:r w:rsidRPr="00694657">
        <w:rPr>
          <w:rFonts w:ascii="Times New Roman" w:hAnsi="Times New Roman" w:cs="Times New Roman"/>
        </w:rPr>
        <w:t xml:space="preserve">, отказавшемуся от заключения договора купли-продажи имущества, в случае признания его единственным участником торгов, гарантируется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77777777" w:rsidR="000A0AB3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 xml:space="preserve">перечисляется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 xml:space="preserve">открытых торгов, от подписания в установленный срок протокола о результатах торгов, либо от заключения договора купли-продажи имущества,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исключением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2"/>
        <w:gridCol w:w="2137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расчетного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77777777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договора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перечисления поступившего задатка. Оператор обязуется уведомить Организатора торгов об изменениях в комиссиях, взимаемых банком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 xml:space="preserve"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физического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соответствии с п. 4.2. настоящего договора. Организатор торгов в праве предложить Оператору, перечислить задаток победителя торгов за вычетом указанной суммы комиссии, о чем письменно уведомляет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 xml:space="preserve">размещения и подписания электронной цифровой подписью Организатора торгов торговой процедуры с указанием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денежных средств в счет оплаты задатка за участие в торгах на расчетный счет Оператора и прекращает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. Споры, возникшие в результате действия настоящего договора, разрешаются в установленном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юридическую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AB7EC1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Фактический адрес и адрес для корреспонденции: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Энгельса,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»: № </w:t>
            </w:r>
            <w:r w:rsidR="00AC0149" w:rsidRPr="008B7C39">
              <w:rPr>
                <w:rFonts w:ascii="Times New Roman" w:hAnsi="Times New Roman" w:cs="Times New Roman"/>
              </w:rPr>
              <w:t>40702810500000149166 в Филиал "ЦЕНТРАЛЬНЫЙ" Банка ВТБ ПАО Г. МОСКВА</w:t>
            </w:r>
            <w:r w:rsidR="00AC0149" w:rsidRPr="00671E61">
              <w:rPr>
                <w:rFonts w:ascii="Times New Roman" w:hAnsi="Times New Roman" w:cs="Times New Roman"/>
              </w:rPr>
              <w:t xml:space="preserve">, к/с </w:t>
            </w:r>
            <w:r w:rsidR="00AC0149" w:rsidRPr="008B7C39">
              <w:rPr>
                <w:rFonts w:ascii="Times New Roman" w:hAnsi="Times New Roman" w:cs="Times New Roman"/>
              </w:rPr>
              <w:t>30101810145250000411</w:t>
            </w:r>
            <w:r w:rsidR="00AC0149" w:rsidRPr="00671E61">
              <w:rPr>
                <w:rFonts w:ascii="Times New Roman" w:hAnsi="Times New Roman" w:cs="Times New Roman"/>
              </w:rPr>
              <w:t xml:space="preserve">, БИК </w:t>
            </w:r>
            <w:r w:rsidR="00AC0149" w:rsidRPr="008B7C39">
              <w:rPr>
                <w:rFonts w:ascii="Times New Roman" w:hAnsi="Times New Roman" w:cs="Times New Roman"/>
              </w:rPr>
              <w:t>044525411</w:t>
            </w:r>
            <w:r w:rsidR="00AC0149" w:rsidRPr="00671E61">
              <w:rPr>
                <w:rFonts w:ascii="Open Sans" w:hAnsi="Open Sans" w:cs="Arial"/>
                <w:color w:val="808D9A"/>
              </w:rPr>
              <w:t xml:space="preserve"> </w:t>
            </w:r>
            <w:r w:rsidR="00AC0149" w:rsidRPr="00671E61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  <w:t>ИНН</w:t>
            </w:r>
            <w:r w:rsidR="00AC0149" w:rsidRPr="00671E61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="00AC0149">
              <w:rPr>
                <w:rFonts w:ascii="Times New Roman" w:hAnsi="Times New Roman" w:cs="Times New Roman"/>
                <w:shd w:val="clear" w:color="auto" w:fill="FFFFFF"/>
              </w:rPr>
              <w:t>7715401966;</w:t>
            </w:r>
            <w:r w:rsidR="00AC0149" w:rsidRPr="00671E61">
              <w:rPr>
                <w:rFonts w:ascii="Times New Roman" w:hAnsi="Times New Roman" w:cs="Times New Roman"/>
                <w:shd w:val="clear" w:color="auto" w:fill="FFFFFF"/>
              </w:rPr>
              <w:t xml:space="preserve"> КПП 773001001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Голобородько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6181444D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7262812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DC1C2C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0319177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</w:t>
            </w:r>
            <w:proofErr w:type="gramEnd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8A62EA9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A58FE9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</w:t>
            </w:r>
            <w:proofErr w:type="gramStart"/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  <w:proofErr w:type="gramEnd"/>
          </w:p>
          <w:p w14:paraId="432B7744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58B3D2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9B5C5A6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proofErr w:type="gramStart"/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proofErr w:type="gramEnd"/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4D6C7268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46DD86C" w14:textId="77777777" w:rsidR="00A01969" w:rsidRPr="00A02016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 xml:space="preserve">E-mail: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E-mail</w:t>
            </w:r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15147C81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DF92F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6B9EB076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8031E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758D02C6" w14:textId="77777777" w:rsidR="00A01969" w:rsidRPr="00A02016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3DB0562C" w14:textId="77777777" w:rsidR="00A01969" w:rsidRPr="00A02016" w:rsidRDefault="00A01969" w:rsidP="00A01969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30E6B3B9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 w15:restartNumberingAfterBreak="0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 w16cid:durableId="629432555">
    <w:abstractNumId w:val="0"/>
  </w:num>
  <w:num w:numId="2" w16cid:durableId="1604800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70A2"/>
    <w:rsid w:val="000D3944"/>
    <w:rsid w:val="000D7F07"/>
    <w:rsid w:val="00120180"/>
    <w:rsid w:val="001545ED"/>
    <w:rsid w:val="001736E5"/>
    <w:rsid w:val="001D39F5"/>
    <w:rsid w:val="0021238A"/>
    <w:rsid w:val="00230E4E"/>
    <w:rsid w:val="00264360"/>
    <w:rsid w:val="002C34F8"/>
    <w:rsid w:val="002D1DF5"/>
    <w:rsid w:val="00337E94"/>
    <w:rsid w:val="00353214"/>
    <w:rsid w:val="003558BF"/>
    <w:rsid w:val="0038031E"/>
    <w:rsid w:val="003E4D94"/>
    <w:rsid w:val="004B1BF7"/>
    <w:rsid w:val="00501D46"/>
    <w:rsid w:val="00504081"/>
    <w:rsid w:val="005135DF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94AEA"/>
    <w:rsid w:val="00AC0149"/>
    <w:rsid w:val="00B02706"/>
    <w:rsid w:val="00B0322C"/>
    <w:rsid w:val="00B17E97"/>
    <w:rsid w:val="00B313FB"/>
    <w:rsid w:val="00BA4F8B"/>
    <w:rsid w:val="00BD2963"/>
    <w:rsid w:val="00C0656C"/>
    <w:rsid w:val="00C32204"/>
    <w:rsid w:val="00C62106"/>
    <w:rsid w:val="00C67AF5"/>
    <w:rsid w:val="00CC5034"/>
    <w:rsid w:val="00CE7CE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  <w15:docId w15:val="{DFDC0A51-916A-4C1A-89A3-8635415B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1232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Rabadan</cp:lastModifiedBy>
  <cp:revision>4</cp:revision>
  <cp:lastPrinted>2017-11-03T08:47:00Z</cp:lastPrinted>
  <dcterms:created xsi:type="dcterms:W3CDTF">2020-12-24T12:56:00Z</dcterms:created>
  <dcterms:modified xsi:type="dcterms:W3CDTF">2026-05-06T15:27:00Z</dcterms:modified>
</cp:coreProperties>
</file>