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3"/>
        <w:rPr>
          <w:sz w:val="22"/>
          <w:szCs w:val="22"/>
        </w:rPr>
      </w:pPr>
      <w:r>
        <w:rPr>
          <w:sz w:val="22"/>
          <w:szCs w:val="22"/>
        </w:rPr>
        <w:t>Договор о задатке № ___</w:t>
      </w:r>
    </w:p>
    <w:p>
      <w:pPr>
        <w:pStyle w:val="Style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3"/>
        <w:rPr/>
      </w:pPr>
      <w:r>
        <w:rPr>
          <w:b w:val="false"/>
          <w:sz w:val="22"/>
          <w:szCs w:val="22"/>
        </w:rPr>
        <w:t xml:space="preserve">г. Кемерово </w:t>
        <w:tab/>
        <w:t xml:space="preserve">                                                                    </w:t>
        <w:tab/>
        <w:tab/>
        <w:t xml:space="preserve">«___»_______ 20__ года </w:t>
      </w:r>
    </w:p>
    <w:p>
      <w:pPr>
        <w:pStyle w:val="Style13"/>
        <w:ind w:firstLine="567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ind w:firstLine="72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Конкурсный управляющий ООО «Энергоуголь» Санжаревский Евгений Всеволодович, именуемый в дальнейшем «Организатор торгов»,</w:t>
      </w:r>
      <w:r>
        <w:rPr>
          <w:sz w:val="22"/>
          <w:szCs w:val="22"/>
        </w:rPr>
        <w:t xml:space="preserve">  действующий на основании определения арбитражного суда Кемеровской области от 18.04.2023г. по делу №А27-6642/2017 с одной стороны, и ___________________________</w:t>
      </w:r>
      <w:r>
        <w:rPr>
          <w:b/>
          <w:sz w:val="22"/>
          <w:szCs w:val="22"/>
        </w:rPr>
        <w:t>___________________________________________________________</w:t>
      </w:r>
    </w:p>
    <w:p>
      <w:pPr>
        <w:pStyle w:val="Normal"/>
        <w:jc w:val="both"/>
        <w:rPr/>
      </w:pPr>
      <w:r>
        <w:rPr>
          <w:b/>
          <w:sz w:val="22"/>
          <w:szCs w:val="22"/>
        </w:rPr>
        <w:t>_____________________________________________________________________________________________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sz w:val="22"/>
          <w:szCs w:val="22"/>
        </w:rPr>
        <w:t>«Заявитель»,</w:t>
      </w:r>
      <w:r>
        <w:rPr>
          <w:sz w:val="22"/>
          <w:szCs w:val="22"/>
        </w:rPr>
        <w:t xml:space="preserve"> с другой стороны, заключили настоящий договор о нижеследующем:</w:t>
      </w:r>
    </w:p>
    <w:p>
      <w:pPr>
        <w:pStyle w:val="Style13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Style13"/>
        <w:rPr/>
      </w:pP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. Предмет договора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Заявитель для участия в торгах по продаже: </w:t>
      </w:r>
    </w:p>
    <w:p>
      <w:pPr>
        <w:pStyle w:val="Normal"/>
        <w:jc w:val="both"/>
        <w:rPr/>
      </w:pPr>
      <w:r>
        <w:rPr/>
        <w:t>Имущества:</w:t>
      </w:r>
    </w:p>
    <w:tbl>
      <w:tblPr>
        <w:tblW w:w="1045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  <w:gridCol w:w="2268"/>
      </w:tblGrid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276"/>
              <w:ind w:right="-284" w:hanging="0"/>
              <w:jc w:val="both"/>
              <w:rPr>
                <w:b/>
                <w:b/>
              </w:rPr>
            </w:pPr>
            <w:r>
              <w:rPr>
                <w:b/>
              </w:rPr>
              <w:t>Лот № ___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276"/>
              <w:ind w:right="-284" w:hanging="0"/>
              <w:jc w:val="both"/>
              <w:rPr>
                <w:b/>
                <w:b/>
              </w:rPr>
            </w:pPr>
            <w:r>
              <w:rPr>
                <w:b/>
              </w:rPr>
              <w:t>Начальная цена (руб).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276"/>
              <w:ind w:right="-284" w:hanging="0"/>
              <w:rPr>
                <w:lang w:val="en-US"/>
              </w:rPr>
            </w:pPr>
            <w:r>
              <w:rPr>
                <w:sz w:val="18"/>
                <w:szCs w:val="18"/>
              </w:rPr>
              <w:t xml:space="preserve">Права требования  (солидарно) к Данилко Игорю Николаевичу, Еремееву Василию Владиславовичу, Скворцовой Ольге Игоревне, Обществу с ограниченной ответственностью «Энергоуголь» (ИНН 4205325276), Панову Павлу Викторовичу, Компании с ограниченной ответственностью «Сибкарбо Энерджи ЛТД» Никосия Кипр, Обществу с ограниченной ответственностью «Горные технологии» (ИНН 4217178942), Бычкову Андрею Михайловичу, Гомзикову Василию Михайловичу, Макарову Алексею Павловичу в порядке привлечения к субсидиарной ответственности по обязательствам должника Общества с ограниченной ответственностью </w:t>
            </w:r>
            <w:r>
              <w:rPr>
                <w:sz w:val="18"/>
                <w:szCs w:val="18"/>
                <w:lang w:val="en-US"/>
              </w:rPr>
              <w:t>«Энергоуголь» (ИНН 4205072846) в размере 23 072 386,26 рублей.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276"/>
              <w:ind w:right="-284" w:hanging="0"/>
              <w:jc w:val="both"/>
              <w:rPr/>
            </w:pPr>
            <w:r>
              <w:rPr/>
              <w:t>23 072 386,26</w:t>
            </w:r>
          </w:p>
        </w:tc>
      </w:tr>
    </w:tbl>
    <w:p>
      <w:pPr>
        <w:pStyle w:val="Normal"/>
        <w:shd w:fill="FFFFFF" w:val="clear"/>
        <w:tabs>
          <w:tab w:val="clear" w:pos="720"/>
          <w:tab w:val="left" w:pos="922" w:leader="none"/>
        </w:tabs>
        <w:ind w:firstLine="709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(далее – </w:t>
      </w:r>
      <w:r>
        <w:rPr>
          <w:b/>
          <w:sz w:val="22"/>
          <w:szCs w:val="22"/>
        </w:rPr>
        <w:t>«Имущество»</w:t>
      </w:r>
      <w:r>
        <w:rPr>
          <w:sz w:val="22"/>
          <w:szCs w:val="22"/>
        </w:rPr>
        <w:t>),  вносит денежные средства в размере _______________________________________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____________________________________________________ (далее – </w:t>
      </w:r>
      <w:r>
        <w:rPr>
          <w:b/>
          <w:sz w:val="22"/>
          <w:szCs w:val="22"/>
        </w:rPr>
        <w:t>«задаток»</w:t>
      </w:r>
      <w:r>
        <w:rPr>
          <w:sz w:val="22"/>
          <w:szCs w:val="22"/>
        </w:rPr>
        <w:t>) путем их перечисления на специальный расчетный счет ООО «Энергоуголь».</w:t>
      </w:r>
    </w:p>
    <w:p>
      <w:pPr>
        <w:pStyle w:val="Style13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>1.2. Задаток вносится Заявителем в счет обеспечения исполнения обязательств по оплате  продаваемого на торгах Имущества.</w:t>
      </w:r>
    </w:p>
    <w:p>
      <w:pPr>
        <w:pStyle w:val="Style13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Style13"/>
        <w:rPr/>
      </w:pP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. Порядок внесения задатка</w:t>
      </w:r>
    </w:p>
    <w:p>
      <w:pPr>
        <w:pStyle w:val="Style13"/>
        <w:jc w:val="both"/>
        <w:rPr/>
      </w:pPr>
      <w:r>
        <w:rPr>
          <w:b w:val="false"/>
          <w:sz w:val="22"/>
          <w:szCs w:val="22"/>
        </w:rPr>
        <w:t>2.1. Задаток считается внесенным с даты поступления всей суммы задатка на специальный расчетный счет ООО «Энергоуголь».</w:t>
      </w:r>
    </w:p>
    <w:p>
      <w:pPr>
        <w:pStyle w:val="Style13"/>
        <w:ind w:firstLine="284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>В случае непоступления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>
      <w:pPr>
        <w:pStyle w:val="Style13"/>
        <w:ind w:firstLine="284"/>
        <w:jc w:val="both"/>
        <w:rPr/>
      </w:pPr>
      <w:r>
        <w:rPr>
          <w:b w:val="false"/>
          <w:sz w:val="22"/>
          <w:szCs w:val="22"/>
        </w:rPr>
        <w:t xml:space="preserve">Документом, подтверждающим внесение или не внесение Заявителем задатка, является платежное поручение, а также выписка с расчетного счета. </w:t>
      </w:r>
    </w:p>
    <w:p>
      <w:pPr>
        <w:pStyle w:val="Style13"/>
        <w:jc w:val="both"/>
        <w:rPr/>
      </w:pPr>
      <w:r>
        <w:rPr>
          <w:b w:val="false"/>
          <w:sz w:val="22"/>
          <w:szCs w:val="22"/>
        </w:rPr>
        <w:t>2.2. Организатор торгов не вправе распоряжаться денежными средствами, поступившими в качестве задатка.</w:t>
      </w:r>
    </w:p>
    <w:p>
      <w:pPr>
        <w:pStyle w:val="Style13"/>
        <w:jc w:val="both"/>
        <w:rPr/>
      </w:pPr>
      <w:r>
        <w:rPr>
          <w:b w:val="false"/>
          <w:sz w:val="22"/>
          <w:szCs w:val="22"/>
        </w:rPr>
        <w:t>2.3. На денежные средства, оплаченные в соответствии с настоящим договором, проценты не начисляются.</w:t>
      </w:r>
    </w:p>
    <w:p>
      <w:pPr>
        <w:pStyle w:val="Style13"/>
        <w:ind w:firstLine="567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Style13"/>
        <w:rPr/>
      </w:pP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 xml:space="preserve">. Порядок возврата и удержания задатка </w:t>
      </w:r>
    </w:p>
    <w:p>
      <w:pPr>
        <w:pStyle w:val="Style13"/>
        <w:jc w:val="both"/>
        <w:rPr/>
      </w:pPr>
      <w:r>
        <w:rPr>
          <w:b w:val="false"/>
          <w:sz w:val="22"/>
          <w:szCs w:val="22"/>
        </w:rPr>
        <w:t>3.1. Задаток возвращается в случаях и в сроки, которые установлены пунктами 3.2 – 3.6 настоящего договора путем перечисления на расчетный счет Заявителя.</w:t>
      </w:r>
    </w:p>
    <w:p>
      <w:pPr>
        <w:pStyle w:val="Style13"/>
        <w:jc w:val="both"/>
        <w:rPr/>
      </w:pPr>
      <w:r>
        <w:rPr>
          <w:b w:val="false"/>
          <w:sz w:val="22"/>
          <w:szCs w:val="22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3 (трех) рабочих дней с даты оформления протокола окончания приема и регистрации заявок на участие в торгах.</w:t>
      </w:r>
    </w:p>
    <w:p>
      <w:pPr>
        <w:pStyle w:val="Style13"/>
        <w:jc w:val="both"/>
        <w:rPr/>
      </w:pPr>
      <w:r>
        <w:rPr>
          <w:b w:val="false"/>
          <w:sz w:val="22"/>
          <w:szCs w:val="22"/>
        </w:rPr>
        <w:t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3 (трех) рабочих дней со дня подписания протокола о результатах торгов, имеющего силу договора и заключения договора купли–продажи имущества.</w:t>
      </w:r>
    </w:p>
    <w:p>
      <w:pPr>
        <w:pStyle w:val="Style13"/>
        <w:ind w:firstLine="567"/>
        <w:jc w:val="both"/>
        <w:rPr/>
      </w:pPr>
      <w:r>
        <w:rPr>
          <w:b w:val="false"/>
          <w:sz w:val="22"/>
          <w:szCs w:val="22"/>
        </w:rPr>
        <w:t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3 (трех) рабочих дней со дня истечения срока, установленного для подписания протокола о результатах торгов, имеющего силу договора и заключения договора купли–продажи имущества.</w:t>
      </w:r>
    </w:p>
    <w:p>
      <w:pPr>
        <w:pStyle w:val="Style13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3 (трех) рабочих дней со дня поступления организатору торгов от заявителя уведомления об отзыве заявки. </w:t>
      </w:r>
    </w:p>
    <w:p>
      <w:pPr>
        <w:pStyle w:val="TextBody"/>
        <w:jc w:val="both"/>
        <w:rPr/>
      </w:pPr>
      <w:r>
        <w:rPr>
          <w:b w:val="false"/>
          <w:sz w:val="22"/>
          <w:szCs w:val="22"/>
        </w:rPr>
        <w:t>3.5. В случае признания торгов не состоявшимися, конкурсный управляющий обязуется возвратить сумму внесенного заявителем задатка в течение 3 (трех) рабочих дней со дня принятия решения об объявлении торгов несостоявшимися.</w:t>
      </w:r>
    </w:p>
    <w:p>
      <w:pPr>
        <w:pStyle w:val="TextBodyIndent"/>
        <w:ind w:hanging="0"/>
        <w:rPr/>
      </w:pPr>
      <w:r>
        <w:rPr>
          <w:sz w:val="22"/>
          <w:szCs w:val="22"/>
        </w:rPr>
        <w:t>3.6. В случае отмены торгов по продаже Имущества организатор торгов возвращает сумму внесенного заявителем задатка в течение 3 (трех) рабочих дней со дня принятия решения об отмене торгов.</w:t>
      </w:r>
    </w:p>
    <w:p>
      <w:pPr>
        <w:pStyle w:val="Style13"/>
        <w:jc w:val="both"/>
        <w:rPr/>
      </w:pPr>
      <w:r>
        <w:rPr>
          <w:b w:val="false"/>
          <w:sz w:val="22"/>
          <w:szCs w:val="22"/>
        </w:rPr>
        <w:t>3.7. Внесенный задаток не возвращается в случае, если заявитель, признанный победителем торгов:</w:t>
      </w:r>
    </w:p>
    <w:p>
      <w:pPr>
        <w:pStyle w:val="TextBody"/>
        <w:ind w:firstLine="851"/>
        <w:jc w:val="both"/>
        <w:rPr/>
      </w:pPr>
      <w:r>
        <w:rPr>
          <w:b w:val="false"/>
          <w:sz w:val="22"/>
          <w:szCs w:val="22"/>
        </w:rPr>
        <w:t>- уклонится от подписания протокола о результатах торгов, имеющего силу договора, в установленный срок (уклонится от заключения в установленный извещением о проведении торгов срок договора купли-продажи имущества);</w:t>
      </w:r>
    </w:p>
    <w:p>
      <w:pPr>
        <w:pStyle w:val="Style13"/>
        <w:ind w:firstLine="851"/>
        <w:jc w:val="both"/>
        <w:rPr/>
      </w:pPr>
      <w:r>
        <w:rPr>
          <w:b w:val="false"/>
          <w:sz w:val="22"/>
          <w:szCs w:val="22"/>
        </w:rPr>
        <w:t>- 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имущества в срок, установленный заключенным договором купли-продажи имущества).</w:t>
      </w:r>
    </w:p>
    <w:p>
      <w:pPr>
        <w:pStyle w:val="Style13"/>
        <w:jc w:val="both"/>
        <w:rPr/>
      </w:pPr>
      <w:r>
        <w:rPr>
          <w:b w:val="false"/>
          <w:sz w:val="22"/>
          <w:szCs w:val="22"/>
        </w:rPr>
        <w:t xml:space="preserve">3.8. Внесенный Заявителем Задаток засчитывается в счет оплаты приобретаемого на торгах имущества при заключении в установленном порядке договора купли–продажи имущества).   </w:t>
      </w:r>
    </w:p>
    <w:p>
      <w:pPr>
        <w:pStyle w:val="Style13"/>
        <w:ind w:firstLine="567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  </w:t>
      </w:r>
    </w:p>
    <w:p>
      <w:pPr>
        <w:pStyle w:val="Style13"/>
        <w:rPr/>
      </w:pP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. Срок действия настоящего договора </w:t>
      </w:r>
    </w:p>
    <w:p>
      <w:pPr>
        <w:pStyle w:val="Style13"/>
        <w:jc w:val="both"/>
        <w:rPr/>
      </w:pPr>
      <w:r>
        <w:rPr>
          <w:b w:val="false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>
      <w:pPr>
        <w:pStyle w:val="Style13"/>
        <w:jc w:val="both"/>
        <w:rPr/>
      </w:pPr>
      <w:r>
        <w:rPr>
          <w:b w:val="false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судебном порядке в соответствии с действующим законодательством Российской Федерации.</w:t>
      </w:r>
    </w:p>
    <w:p>
      <w:pPr>
        <w:pStyle w:val="Style13"/>
        <w:jc w:val="both"/>
        <w:rPr/>
      </w:pPr>
      <w:r>
        <w:rPr>
          <w:b w:val="false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pStyle w:val="Normal"/>
        <w:spacing w:before="300" w:after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>
        <w:rPr>
          <w:b/>
          <w:sz w:val="22"/>
          <w:szCs w:val="22"/>
        </w:rPr>
        <w:t>. Адреса и реквизиты Сторон</w:t>
      </w:r>
    </w:p>
    <w:tbl>
      <w:tblPr>
        <w:tblW w:w="9426" w:type="dxa"/>
        <w:jc w:val="left"/>
        <w:tblInd w:w="-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"/>
        <w:gridCol w:w="4464"/>
        <w:gridCol w:w="214"/>
        <w:gridCol w:w="4489"/>
        <w:gridCol w:w="189"/>
      </w:tblGrid>
      <w:tr>
        <w:trPr/>
        <w:tc>
          <w:tcPr>
            <w:tcW w:w="70" w:type="dxa"/>
            <w:tcBorders/>
          </w:tcPr>
          <w:p>
            <w:pPr>
              <w:pStyle w:val="TableHeading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678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TextBody"/>
              <w:snapToGrid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TextBody"/>
              <w:rPr>
                <w:bCs/>
              </w:rPr>
            </w:pPr>
            <w:r>
              <w:rPr>
                <w:bCs/>
              </w:rPr>
              <w:t>Организатор торгов</w:t>
            </w:r>
          </w:p>
        </w:tc>
        <w:tc>
          <w:tcPr>
            <w:tcW w:w="4678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ConsNormal"/>
              <w:widowControl/>
              <w:snapToGrid w:val="false"/>
              <w:ind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s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Покупатель:</w:t>
            </w:r>
          </w:p>
          <w:p>
            <w:pPr>
              <w:pStyle w:val="ConsNormal"/>
              <w:widowControl/>
              <w:ind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534" w:type="dxa"/>
            <w:gridSpan w:val="2"/>
            <w:tcBorders/>
            <w:tcMar>
              <w:left w:w="70" w:type="dxa"/>
              <w:right w:w="70" w:type="dxa"/>
            </w:tcMar>
          </w:tcPr>
          <w:p>
            <w:pPr>
              <w:pStyle w:val="TextBody"/>
              <w:jc w:val="left"/>
              <w:rPr>
                <w:b w:val="false"/>
                <w:b w:val="false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Конкурсный управляющий </w:t>
            </w:r>
          </w:p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«Энергоуголь»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650024, Кемеровская Область - Кузбасс область, город Кемерово, ул.Баумана, д. 4 А ИНН 4205072846, ОГРН 1044205052176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>
                <w:sz w:val="22"/>
                <w:szCs w:val="22"/>
              </w:rPr>
              <w:t>Р\С: 40702810122550000565.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в ПАО «Банк Уралсиб» БИК 044525787, К\С 30101810100000000787.</w:t>
            </w:r>
          </w:p>
          <w:p>
            <w:pPr>
              <w:pStyle w:val="Normal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Адрес Конкурсного управляющего: </w:t>
            </w:r>
          </w:p>
          <w:p>
            <w:pPr>
              <w:pStyle w:val="Normal"/>
              <w:rPr/>
            </w:pPr>
            <w:r>
              <w:rPr>
                <w:b/>
                <w:color w:val="000000"/>
                <w:sz w:val="24"/>
                <w:szCs w:val="24"/>
              </w:rPr>
              <w:t>650000г. Кемерово, ул. Весенняя, 7-23</w:t>
            </w:r>
          </w:p>
          <w:p>
            <w:pPr>
              <w:pStyle w:val="Normal"/>
              <w:spacing w:before="0" w:after="12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703" w:type="dxa"/>
            <w:gridSpan w:val="2"/>
            <w:tcBorders/>
            <w:tcMar>
              <w:left w:w="70" w:type="dxa"/>
              <w:right w:w="70" w:type="dxa"/>
            </w:tcMar>
          </w:tcPr>
          <w:p>
            <w:pPr>
              <w:pStyle w:val="Normal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>
            <w:pPr>
              <w:pStyle w:val="Normal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>
            <w:pPr>
              <w:pStyle w:val="Normal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>
            <w:pPr>
              <w:pStyle w:val="Normal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>
            <w:pPr>
              <w:pStyle w:val="Normal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>
            <w:pPr>
              <w:pStyle w:val="Normal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>
            <w:pPr>
              <w:pStyle w:val="Normal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>
            <w:pPr>
              <w:pStyle w:val="Normal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>
            <w:pPr>
              <w:pStyle w:val="Normal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34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pacing w:before="0" w:after="120"/>
              <w:rPr>
                <w:b/>
                <w:b/>
                <w:bCs/>
                <w:sz w:val="22"/>
                <w:szCs w:val="22"/>
              </w:rPr>
            </w:pPr>
            <w:bookmarkStart w:id="0" w:name="BITSoft"/>
            <w:bookmarkEnd w:id="0"/>
            <w:r>
              <w:rPr>
                <w:b/>
                <w:bCs/>
                <w:sz w:val="22"/>
                <w:szCs w:val="22"/>
              </w:rPr>
              <w:t xml:space="preserve">Конкурсный управляющий </w:t>
            </w:r>
          </w:p>
          <w:p>
            <w:pPr>
              <w:pStyle w:val="Normal"/>
              <w:spacing w:before="0" w:after="120"/>
              <w:rPr/>
            </w:pPr>
            <w:r>
              <w:rPr>
                <w:b/>
                <w:bCs/>
                <w:sz w:val="22"/>
                <w:szCs w:val="22"/>
              </w:rPr>
              <w:t>Санжаревский Евгений Всеволодович</w:t>
            </w:r>
            <w:r>
              <w:rPr>
                <w:sz w:val="22"/>
                <w:szCs w:val="22"/>
              </w:rPr>
              <w:t xml:space="preserve">                                         </w:t>
            </w:r>
          </w:p>
          <w:p>
            <w:pPr>
              <w:pStyle w:val="Normal"/>
              <w:rPr/>
            </w:pPr>
            <w:r>
              <w:rPr/>
              <w:t>____________________</w:t>
            </w:r>
          </w:p>
          <w:p>
            <w:pPr>
              <w:pStyle w:val="Normal"/>
              <w:rPr/>
            </w:pPr>
            <w:r>
              <w:rPr/>
              <w:t>м.п.</w:t>
            </w:r>
          </w:p>
        </w:tc>
        <w:tc>
          <w:tcPr>
            <w:tcW w:w="4703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 _______________________</w:t>
            </w:r>
          </w:p>
          <w:p>
            <w:pPr>
              <w:pStyle w:val="Normal"/>
              <w:rPr/>
            </w:pPr>
            <w:r>
              <w:rPr/>
              <w:t>м.п.</w:t>
            </w:r>
          </w:p>
        </w:tc>
        <w:tc>
          <w:tcPr>
            <w:tcW w:w="18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ind w:left="851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964" w:right="624" w:gutter="0" w:header="567" w:top="623" w:footer="567" w:bottom="62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7955"/>
              <wp:effectExtent l="0" t="0" r="0" b="0"/>
              <wp:wrapSquare wrapText="largest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7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65pt;mso-wrap-distance-left:0pt;mso-wrap-distance-right:0pt;mso-wrap-distance-top:0pt;mso-wrap-distance-bottom:0pt;margin-top:0.05pt;mso-position-vertical-relative:text;margin-left:514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1280" cy="147955"/>
              <wp:effectExtent l="0" t="0" r="0" b="0"/>
              <wp:wrapSquare wrapText="largest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0" cy="147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4pt;height:11.65pt;mso-wrap-distance-left:0pt;mso-wrap-distance-right:0pt;mso-wrap-distance-top:0pt;mso-wrap-distance-bottom:0pt;margin-top:0.05pt;mso-position-vertical-relative:text;margin-left:254.7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i/>
      <w:sz w:val="24"/>
    </w:rPr>
  </w:style>
  <w:style w:type="character" w:styleId="WW8Num1z0">
    <w:name w:val="WW8Num1z0"/>
    <w:qFormat/>
    <w:rPr/>
  </w:style>
  <w:style w:type="character" w:styleId="Style12">
    <w:name w:val="Основной шрифт абзаца"/>
    <w:qFormat/>
    <w:rPr/>
  </w:style>
  <w:style w:type="character" w:styleId="PageNumber">
    <w:name w:val="Page Number"/>
    <w:basedOn w:val="Style12"/>
    <w:rPr/>
  </w:style>
  <w:style w:type="paragraph" w:styleId="Heading">
    <w:name w:val="Heading"/>
    <w:basedOn w:val="Normal"/>
    <w:next w:val="TextBody"/>
    <w:qFormat/>
    <w:pPr>
      <w:jc w:val="center"/>
    </w:pPr>
    <w:rPr>
      <w:b/>
      <w:sz w:val="28"/>
    </w:rPr>
  </w:style>
  <w:style w:type="paragraph" w:styleId="TextBody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3">
    <w:name w:val="Название объекта"/>
    <w:basedOn w:val="Normal"/>
    <w:qFormat/>
    <w:pPr>
      <w:jc w:val="center"/>
    </w:pPr>
    <w:rPr>
      <w:b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extBodyIndent">
    <w:name w:val="Body Text Indent"/>
    <w:basedOn w:val="Normal"/>
    <w:pPr>
      <w:ind w:firstLine="567"/>
      <w:jc w:val="both"/>
    </w:pPr>
    <w:rPr>
      <w:sz w:val="24"/>
    </w:rPr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Normal">
    <w:name w:val="ConsNormal"/>
    <w:qFormat/>
    <w:pPr>
      <w:widowControl w:val="false"/>
      <w:bidi w:val="0"/>
      <w:ind w:firstLine="720"/>
    </w:pPr>
    <w:rPr>
      <w:rFonts w:ascii="Arial" w:hAnsi="Arial" w:eastAsia="Calibri" w:cs="Arial"/>
      <w:color w:val="auto"/>
      <w:sz w:val="20"/>
      <w:szCs w:val="20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Calibri" w:cs="Courier New"/>
      <w:color w:val="auto"/>
      <w:sz w:val="20"/>
      <w:szCs w:val="20"/>
      <w:lang w:val="ru-RU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2025-12-05T03:46:00Z</dcterms:created>
  <dc:creator>Главный компьютер офиса</dc:creator>
  <dc:description/>
  <dc:language>en-US</dc:language>
  <cp:lastModifiedBy>Евгений</cp:lastModifiedBy>
  <cp:lastPrinted>2010-10-19T10:02:00Z</cp:lastPrinted>
  <dcterms:modified xsi:type="dcterms:W3CDTF">2025-12-05T03:46:00Z</dcterms:modified>
  <cp:revision>2</cp:revision>
  <dc:subject/>
  <dc:title>Договор о задатке № ________</dc:title>
</cp:coreProperties>
</file>