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215" w:rsidRPr="00FF1723" w:rsidRDefault="007B4687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Москва</w:t>
      </w:r>
    </w:p>
    <w:p w:rsidR="00191215" w:rsidRPr="00FF1723" w:rsidRDefault="007B4687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19 января 2026 г.</w:t>
      </w:r>
    </w:p>
    <w:p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7B468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Гончаров Юрий Александрович</w:t>
      </w:r>
      <w:r w:rsidR="007274E9" w:rsidRPr="00FF1723">
        <w:rPr>
          <w:rFonts w:ascii="Times New Roman" w:hAnsi="Times New Roman"/>
        </w:rPr>
        <w:t xml:space="preserve">, именуемый (-ая)  в дальнейшем «Цедент», в лице финансового управляющего </w:t>
      </w:r>
      <w:r>
        <w:rPr>
          <w:rFonts w:ascii="Times New Roman" w:hAnsi="Times New Roman"/>
          <w:noProof/>
        </w:rPr>
        <w:t>Москаленко Василия Васильевича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 города Москвы от 29.08.2024 (резолютивная часть объявлена 15.08.2024 г.) по делу № А40-192756/21</w:t>
      </w:r>
      <w:r w:rsidR="007274E9" w:rsidRPr="00FF1723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7B4687">
        <w:rPr>
          <w:rFonts w:ascii="Times New Roman" w:hAnsi="Times New Roman"/>
          <w:noProof/>
        </w:rPr>
        <w:t>________________</w:t>
      </w:r>
      <w:r w:rsidRPr="00FF1723">
        <w:rPr>
          <w:rFonts w:ascii="Times New Roman" w:hAnsi="Times New Roman"/>
        </w:rPr>
        <w:t xml:space="preserve"> (далее по тексту – должник) по </w:t>
      </w:r>
      <w:r w:rsidR="007B4687">
        <w:rPr>
          <w:rFonts w:ascii="Times New Roman" w:hAnsi="Times New Roman"/>
          <w:noProof/>
        </w:rPr>
        <w:t>________________________</w:t>
      </w:r>
      <w:r w:rsidRPr="00FF1723">
        <w:rPr>
          <w:rFonts w:ascii="Times New Roman" w:hAnsi="Times New Roman"/>
        </w:rPr>
        <w:t xml:space="preserve"> № </w:t>
      </w:r>
      <w:r w:rsidR="007B4687">
        <w:rPr>
          <w:rFonts w:ascii="Times New Roman" w:hAnsi="Times New Roman"/>
          <w:noProof/>
        </w:rPr>
        <w:t>____________</w:t>
      </w:r>
      <w:r w:rsidRPr="00FF1723">
        <w:rPr>
          <w:rFonts w:ascii="Times New Roman" w:hAnsi="Times New Roman"/>
        </w:rPr>
        <w:t xml:space="preserve"> от </w:t>
      </w:r>
      <w:r w:rsidR="007B4687">
        <w:rPr>
          <w:rFonts w:ascii="Times New Roman" w:hAnsi="Times New Roman"/>
          <w:noProof/>
        </w:rPr>
        <w:t>__.__.____ г.</w:t>
      </w:r>
      <w:r w:rsidRPr="00FF1723">
        <w:rPr>
          <w:rFonts w:ascii="Times New Roman" w:hAnsi="Times New Roman"/>
        </w:rPr>
        <w:t xml:space="preserve"> (далее по тексту – право требования).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7B4687">
        <w:rPr>
          <w:rFonts w:ascii="Times New Roman" w:hAnsi="Times New Roman"/>
          <w:noProof/>
        </w:rPr>
        <w:t>350002, край Краснодарский, Краснодар, а/я 5787</w:t>
      </w:r>
      <w:r w:rsidRPr="00FF1723">
        <w:rPr>
          <w:rFonts w:ascii="Times New Roman" w:hAnsi="Times New Roman"/>
        </w:rPr>
        <w:t>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B4687">
        <w:rPr>
          <w:rFonts w:ascii="Times New Roman" w:hAnsi="Times New Roman"/>
          <w:noProof/>
          <w:color w:val="000000"/>
        </w:rPr>
        <w:t>Арбитражным судом  города Москвы</w:t>
      </w:r>
      <w:r w:rsidRPr="00FF1723">
        <w:rPr>
          <w:rFonts w:ascii="Times New Roman" w:hAnsi="Times New Roman"/>
          <w:color w:val="000000"/>
        </w:rPr>
        <w:t>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B468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Гончаров Юрий Александрович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7B4687">
              <w:rPr>
                <w:rFonts w:ascii="Times New Roman" w:hAnsi="Times New Roman"/>
                <w:noProof/>
              </w:rPr>
              <w:t>19.01.1980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7B4687">
              <w:rPr>
                <w:rFonts w:ascii="Times New Roman" w:hAnsi="Times New Roman"/>
                <w:noProof/>
              </w:rPr>
              <w:t>город Москва</w:t>
            </w:r>
          </w:p>
          <w:p w:rsidR="007274E9" w:rsidRPr="00FF1723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7B4687">
              <w:rPr>
                <w:rFonts w:ascii="Times New Roman" w:hAnsi="Times New Roman"/>
                <w:noProof/>
              </w:rPr>
              <w:t>049-165-219 67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7B4687">
              <w:rPr>
                <w:rFonts w:ascii="Times New Roman" w:hAnsi="Times New Roman"/>
                <w:noProof/>
              </w:rPr>
              <w:t>772603502128</w:t>
            </w:r>
          </w:p>
          <w:p w:rsidR="007274E9" w:rsidRPr="00FF1723" w:rsidRDefault="007B468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117152, г Москва, г Москва, ш.Загородное, д.4, корп. 3, кв. 121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274E9" w:rsidRPr="00FF1723" w:rsidRDefault="007274E9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B468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Гончарова Юрия Александровича</w:t>
            </w:r>
          </w:p>
          <w:p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В.В. Москаленко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728A" w:rsidRPr="00FF1723" w:rsidRDefault="007B4687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Москва</w:t>
      </w:r>
    </w:p>
    <w:p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t xml:space="preserve">             «__»____ _____ г.</w:t>
      </w:r>
    </w:p>
    <w:p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7B468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Гончаров Юрий Александрович</w:t>
      </w:r>
      <w:r w:rsidR="007274E9" w:rsidRPr="00FF1723">
        <w:rPr>
          <w:rFonts w:ascii="Times New Roman" w:hAnsi="Times New Roman"/>
        </w:rPr>
        <w:t xml:space="preserve">, именуемый (-ая)  в дальнейшем «Цедент»в лице финансового управляющего </w:t>
      </w:r>
      <w:r>
        <w:rPr>
          <w:rFonts w:ascii="Times New Roman" w:hAnsi="Times New Roman"/>
          <w:noProof/>
        </w:rPr>
        <w:t>Москаленко Василия Васильевича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 города Москвы от 29.08.2024 (резолютивная часть объявлена 15.08.2024 г.) по делу № А40-192756/21</w:t>
      </w:r>
      <w:r w:rsidR="007274E9" w:rsidRPr="00FF1723">
        <w:rPr>
          <w:rFonts w:ascii="Times New Roman" w:hAnsi="Times New Roman"/>
        </w:rPr>
        <w:t>, с одной стороны, и 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7B4687">
        <w:rPr>
          <w:rFonts w:ascii="Times New Roman" w:hAnsi="Times New Roman"/>
          <w:bCs/>
          <w:noProof/>
        </w:rPr>
        <w:t>________________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7B4687">
        <w:rPr>
          <w:rFonts w:ascii="Times New Roman" w:hAnsi="Times New Roman"/>
          <w:bCs/>
          <w:noProof/>
        </w:rPr>
        <w:t>________________________</w:t>
      </w:r>
      <w:r w:rsidR="00261C11" w:rsidRPr="00FF1723">
        <w:rPr>
          <w:rFonts w:ascii="Times New Roman" w:hAnsi="Times New Roman"/>
          <w:bCs/>
        </w:rPr>
        <w:t xml:space="preserve"> № </w:t>
      </w:r>
      <w:r w:rsidR="007B4687">
        <w:rPr>
          <w:rFonts w:ascii="Times New Roman" w:hAnsi="Times New Roman"/>
          <w:bCs/>
          <w:noProof/>
        </w:rPr>
        <w:t>____________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7B4687">
        <w:rPr>
          <w:rFonts w:ascii="Times New Roman" w:hAnsi="Times New Roman"/>
          <w:bCs/>
          <w:noProof/>
        </w:rPr>
        <w:t>__.__.____ г.</w:t>
      </w:r>
      <w:r w:rsidRPr="00FF1723">
        <w:rPr>
          <w:rFonts w:ascii="Times New Roman" w:hAnsi="Times New Roman"/>
          <w:bCs/>
        </w:rPr>
        <w:t>, а именно: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B468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Гончаров Юрий Александрович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7B4687">
              <w:rPr>
                <w:rFonts w:ascii="Times New Roman" w:hAnsi="Times New Roman"/>
                <w:noProof/>
              </w:rPr>
              <w:t>19.01.1980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7B4687">
              <w:rPr>
                <w:rFonts w:ascii="Times New Roman" w:hAnsi="Times New Roman"/>
                <w:noProof/>
              </w:rPr>
              <w:t>город Москва</w:t>
            </w:r>
          </w:p>
          <w:p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7B4687">
              <w:rPr>
                <w:rFonts w:ascii="Times New Roman" w:hAnsi="Times New Roman"/>
                <w:noProof/>
              </w:rPr>
              <w:t>049-165-219 67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7B4687">
              <w:rPr>
                <w:rFonts w:ascii="Times New Roman" w:hAnsi="Times New Roman"/>
                <w:noProof/>
              </w:rPr>
              <w:t>772603502128</w:t>
            </w:r>
          </w:p>
          <w:p w:rsidR="007274E9" w:rsidRPr="00FF1723" w:rsidRDefault="007B468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117152, г Москва, г Москва, ш.Загородное, д.4, корп. 3, кв. 121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5903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5903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B468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Гончарова Юрия Александровича</w:t>
            </w:r>
          </w:p>
          <w:p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7B4687">
              <w:rPr>
                <w:rFonts w:ascii="Times New Roman" w:eastAsia="Times New Roman" w:hAnsi="Times New Roman"/>
                <w:noProof/>
                <w:lang w:eastAsia="ru-RU"/>
              </w:rPr>
              <w:t>В.В. Москаленко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9471210">
    <w:abstractNumId w:val="1"/>
  </w:num>
  <w:num w:numId="2" w16cid:durableId="32887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106842"/>
    <w:rsid w:val="00191215"/>
    <w:rsid w:val="001F7843"/>
    <w:rsid w:val="0023545D"/>
    <w:rsid w:val="00261C11"/>
    <w:rsid w:val="002B725E"/>
    <w:rsid w:val="0032108B"/>
    <w:rsid w:val="00382C72"/>
    <w:rsid w:val="0046686D"/>
    <w:rsid w:val="0049059C"/>
    <w:rsid w:val="004B2041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7B4687"/>
    <w:rsid w:val="00803A5A"/>
    <w:rsid w:val="008700D4"/>
    <w:rsid w:val="008A4210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BB0718"/>
    <w:rsid w:val="00C653A0"/>
    <w:rsid w:val="00CE4B37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9135B-0BE1-AE45-A346-C2B0243D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Василий Москаленко</cp:lastModifiedBy>
  <cp:revision>2</cp:revision>
  <dcterms:created xsi:type="dcterms:W3CDTF">2026-01-19T13:40:00Z</dcterms:created>
  <dcterms:modified xsi:type="dcterms:W3CDTF">2026-01-19T13:40:00Z</dcterms:modified>
</cp:coreProperties>
</file>