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31"/>
        <w:pBdr/>
        <w:spacing/>
        <w:ind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  <w:r>
        <w:rPr>
          <w:color w:val="000000"/>
          <w:sz w:val="24"/>
        </w:rPr>
      </w:r>
      <w:r>
        <w:rPr>
          <w:color w:val="000000"/>
          <w:sz w:val="24"/>
        </w:rPr>
      </w:r>
    </w:p>
    <w:p>
      <w:pPr>
        <w:pStyle w:val="931"/>
        <w:pBdr/>
        <w:spacing/>
        <w:ind/>
        <w:rPr>
          <w:color w:val="000000"/>
          <w:sz w:val="24"/>
        </w:rPr>
      </w:pPr>
      <w:r>
        <w:rPr>
          <w:color w:val="000000"/>
          <w:sz w:val="24"/>
        </w:rPr>
        <w:t xml:space="preserve">КУПЛИ-ПРОДАЖИ</w:t>
      </w:r>
      <w:r>
        <w:rPr>
          <w:color w:val="000000"/>
          <w:sz w:val="24"/>
        </w:rPr>
      </w:r>
      <w:r>
        <w:rPr>
          <w:color w:val="000000"/>
          <w:sz w:val="24"/>
        </w:rPr>
      </w:r>
    </w:p>
    <w:p>
      <w:pPr>
        <w:pStyle w:val="931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31"/>
        <w:pBdr/>
        <w:spacing/>
        <w:ind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 xml:space="preserve">«___</w:t>
      </w:r>
      <w:r>
        <w:rPr>
          <w:b w:val="0"/>
          <w:color w:val="000000"/>
          <w:sz w:val="24"/>
        </w:rPr>
        <w:t xml:space="preserve">_»  </w:t>
      </w:r>
      <w:r>
        <w:rPr>
          <w:b w:val="0"/>
          <w:color w:val="000000"/>
          <w:sz w:val="24"/>
        </w:rPr>
        <w:t xml:space="preserve">ноябрь  20</w:t>
      </w:r>
      <w:r>
        <w:rPr>
          <w:b w:val="0"/>
          <w:color w:val="000000"/>
          <w:sz w:val="24"/>
        </w:rPr>
        <w:t xml:space="preserve">2</w:t>
      </w:r>
      <w:r>
        <w:rPr>
          <w:b w:val="0"/>
          <w:color w:val="000000"/>
          <w:sz w:val="24"/>
          <w:lang w:val="en-US"/>
        </w:rPr>
        <w:t xml:space="preserve">5</w:t>
      </w:r>
      <w:r>
        <w:rPr>
          <w:b w:val="0"/>
          <w:color w:val="000000"/>
          <w:sz w:val="24"/>
        </w:rPr>
        <w:t xml:space="preserve"> </w:t>
      </w:r>
      <w:r>
        <w:rPr>
          <w:b w:val="0"/>
          <w:color w:val="000000"/>
          <w:sz w:val="24"/>
        </w:rPr>
        <w:t xml:space="preserve">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</w:t>
      </w:r>
      <w:r>
        <w:rPr>
          <w:b w:val="0"/>
          <w:color w:val="000000"/>
          <w:sz w:val="24"/>
        </w:rPr>
        <w:t xml:space="preserve">                </w:t>
      </w:r>
      <w:r>
        <w:rPr>
          <w:b w:val="0"/>
          <w:color w:val="000000"/>
          <w:sz w:val="24"/>
        </w:rPr>
        <w:t xml:space="preserve">        </w:t>
      </w:r>
      <w:r>
        <w:rPr>
          <w:b w:val="0"/>
          <w:color w:val="000000"/>
          <w:sz w:val="24"/>
        </w:rPr>
        <w:t xml:space="preserve">  </w:t>
      </w:r>
      <w:r>
        <w:rPr>
          <w:b w:val="0"/>
          <w:color w:val="000000"/>
          <w:sz w:val="24"/>
        </w:rPr>
        <w:t xml:space="preserve"> г. </w:t>
      </w:r>
      <w:r>
        <w:rPr>
          <w:b w:val="0"/>
          <w:color w:val="000000"/>
          <w:sz w:val="24"/>
        </w:rPr>
        <w:t xml:space="preserve">Владимир</w:t>
      </w:r>
      <w:r>
        <w:rPr>
          <w:b w:val="0"/>
          <w:color w:val="000000"/>
          <w:sz w:val="24"/>
        </w:rPr>
      </w:r>
      <w:r>
        <w:rPr>
          <w:b w:val="0"/>
          <w:color w:val="000000"/>
          <w:sz w:val="24"/>
        </w:rPr>
      </w:r>
    </w:p>
    <w:p>
      <w:pPr>
        <w:pBdr/>
        <w:tabs>
          <w:tab w:val="left" w:leader="none" w:pos="6237"/>
        </w:tabs>
        <w:spacing/>
        <w:ind w:firstLine="709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27"/>
        <w:pBdr/>
        <w:spacing/>
        <w:ind w:firstLine="0"/>
        <w:jc w:val="both"/>
        <w:rPr>
          <w:rFonts w:ascii="Times New Roman" w:hAnsi="Times New Roman" w:eastAsia="Calibri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 xml:space="preserve">Финансовый управляющий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</w:r>
      <w:r>
        <w:rPr>
          <w:rStyle w:val="1_2"/>
          <w:sz w:val="22"/>
          <w:szCs w:val="22"/>
        </w:rPr>
        <w:t xml:space="preserve">Рулева Татьяна Васильевна</w:t>
      </w:r>
      <w:r>
        <w:rPr>
          <w:sz w:val="22"/>
          <w:szCs w:val="22"/>
        </w:rPr>
        <w:t xml:space="preserve"> </w:t>
      </w:r>
      <w:r/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Жуков Михаил Николаевич, действующего на основании решения  Арбитражного суда </w:t>
      </w:r>
      <w:r>
        <w:rPr>
          <w:rFonts w:ascii="Times New Roman" w:hAnsi="Times New Roman"/>
          <w:sz w:val="22"/>
        </w:rPr>
      </w:r>
      <w:r>
        <w:rPr>
          <w:rStyle w:val="1_2"/>
          <w:rFonts w:ascii="Times New Roman" w:hAnsi="Times New Roman" w:eastAsia="Times New Roman" w:cs="Times New Roman"/>
          <w:sz w:val="22"/>
          <w:szCs w:val="22"/>
        </w:rPr>
        <w:t xml:space="preserve">Московской области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от </w:t>
      </w:r>
      <w:r>
        <w:rPr>
          <w:rStyle w:val="1_2"/>
          <w:rFonts w:ascii="Times New Roman" w:hAnsi="Times New Roman" w:eastAsia="Times New Roman" w:cs="Times New Roman"/>
          <w:sz w:val="22"/>
          <w:szCs w:val="22"/>
        </w:rPr>
        <w:t xml:space="preserve">26.02.2025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дело № </w:t>
      </w:r>
      <w:r>
        <w:rPr>
          <w:rStyle w:val="1_2"/>
          <w:rFonts w:ascii="Times New Roman" w:hAnsi="Times New Roman" w:eastAsia="Times New Roman" w:cs="Times New Roman"/>
          <w:sz w:val="22"/>
          <w:szCs w:val="22"/>
        </w:rPr>
        <w:t xml:space="preserve">А41-114407/2024</w:t>
      </w:r>
      <w:r/>
      <w:r>
        <w:rPr>
          <w:rFonts w:ascii="Times New Roman" w:hAnsi="Times New Roman"/>
          <w:sz w:val="22"/>
        </w:rPr>
        <w:t xml:space="preserve">, именуемый</w:t>
      </w:r>
      <w:r>
        <w:rPr>
          <w:rFonts w:ascii="Times New Roman" w:hAnsi="Times New Roman" w:eastAsia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в</w:t>
      </w:r>
      <w:r>
        <w:rPr>
          <w:rFonts w:ascii="Times New Roman" w:hAnsi="Times New Roman" w:eastAsia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дальнейшем</w:t>
      </w:r>
      <w:r>
        <w:rPr>
          <w:rFonts w:ascii="Times New Roman" w:hAnsi="Times New Roman" w:eastAsia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«Продавец»</w:t>
      </w:r>
      <w:r>
        <w:rPr>
          <w:rFonts w:ascii="Times New Roman" w:hAnsi="Times New Roman" w:eastAsia="Calibri"/>
          <w:color w:val="000000"/>
          <w:sz w:val="22"/>
          <w:lang w:eastAsia="en-US"/>
        </w:rPr>
        <w:t xml:space="preserve">, с одной сто</w:t>
      </w:r>
      <w:r>
        <w:rPr>
          <w:rFonts w:ascii="Times New Roman" w:hAnsi="Times New Roman" w:eastAsia="Calibri"/>
          <w:color w:val="000000"/>
          <w:sz w:val="22"/>
          <w:lang w:eastAsia="en-US"/>
        </w:rPr>
        <w:t xml:space="preserve">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</w:t>
      </w:r>
      <w:r>
        <w:rPr>
          <w:rFonts w:ascii="Times New Roman" w:hAnsi="Times New Roman" w:eastAsia="Calibri"/>
          <w:color w:val="000000"/>
          <w:sz w:val="22"/>
          <w:lang w:eastAsia="en-US"/>
        </w:rPr>
        <w:t xml:space="preserve">Ратовой М.В, заключили настоящий договор о нижеследующем</w:t>
      </w:r>
      <w:r>
        <w:rPr>
          <w:rFonts w:ascii="Times New Roman" w:hAnsi="Times New Roman" w:eastAsia="Calibri"/>
          <w:color w:val="000000"/>
          <w:sz w:val="22"/>
          <w:lang w:eastAsia="en-US"/>
        </w:rPr>
      </w:r>
      <w:r>
        <w:rPr>
          <w:rFonts w:ascii="Times New Roman" w:hAnsi="Times New Roman" w:eastAsia="Calibri"/>
          <w:color w:val="000000"/>
          <w:sz w:val="22"/>
          <w:lang w:eastAsia="en-US"/>
        </w:rPr>
      </w:r>
    </w:p>
    <w:p>
      <w:pPr>
        <w:pBdr/>
        <w:spacing/>
        <w:ind w:firstLine="708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Bdr/>
        <w:tabs>
          <w:tab w:val="left" w:leader="none" w:pos="6237"/>
        </w:tabs>
        <w:spacing/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 xml:space="preserve">1. Предмет договора.</w:t>
      </w:r>
      <w:r>
        <w:rPr>
          <w:b/>
          <w:bCs/>
          <w:color w:val="000000"/>
          <w:sz w:val="22"/>
        </w:rPr>
      </w:r>
      <w:r>
        <w:rPr>
          <w:b/>
          <w:bCs/>
          <w:color w:val="000000"/>
          <w:sz w:val="22"/>
        </w:rPr>
      </w:r>
    </w:p>
    <w:p>
      <w:pPr>
        <w:pStyle w:val="929"/>
        <w:pBdr/>
        <w:spacing/>
        <w:ind/>
        <w:rPr>
          <w:color w:val="000000"/>
          <w:sz w:val="22"/>
        </w:rPr>
      </w:pPr>
      <w:r>
        <w:rPr>
          <w:color w:val="000000"/>
          <w:sz w:val="22"/>
        </w:rPr>
        <w:t xml:space="preserve">1.1. Про</w:t>
      </w:r>
      <w:r>
        <w:rPr>
          <w:color w:val="000000"/>
          <w:sz w:val="22"/>
        </w:rPr>
        <w:t xml:space="preserve">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hd w:val="clear" w:color="auto" w:fill="ffffff"/>
        <w:tabs>
          <w:tab w:val="left" w:leader="none" w:pos="471"/>
          <w:tab w:val="left" w:leader="none" w:pos="743"/>
        </w:tabs>
        <w:spacing/>
        <w:ind w:right="-1" w:firstLine="671" w:left="34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1.2. Передаче подлежит право собственности на следующее имущество Продавца: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hd w:val="clear" w:color="auto" w:fill="ffffff"/>
        <w:tabs>
          <w:tab w:val="left" w:leader="none" w:pos="471"/>
          <w:tab w:val="left" w:leader="none" w:pos="743"/>
        </w:tabs>
        <w:spacing/>
        <w:ind w:right="-1" w:firstLine="671" w:left="34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tbl>
      <w:tblPr>
        <w:tblInd w:w="55" w:type="dxa"/>
        <w:tblW w:w="0" w:type="auto"/>
        <w:tblCellMar>
          <w:left w:w="55" w:type="dxa"/>
          <w:top w:w="55" w:type="dxa"/>
          <w:right w:w="55" w:type="dxa"/>
          <w:bottom w:w="55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>
        <w:trPr>
          <w:trHeight w:val="50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58" w:type="dxa"/>
            <w:textDirection w:val="lrTb"/>
            <w:noWrap w:val="false"/>
          </w:tcPr>
          <w:p>
            <w:pPr>
              <w:pStyle w:val="928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№ п/п</w:t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016" w:type="dxa"/>
            <w:textDirection w:val="lrTb"/>
            <w:noWrap w:val="false"/>
          </w:tcPr>
          <w:p>
            <w:pPr>
              <w:pStyle w:val="928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Наименование имущества</w:t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87" w:type="dxa"/>
            <w:textDirection w:val="lrTb"/>
            <w:noWrap w:val="false"/>
          </w:tcPr>
          <w:p>
            <w:pPr>
              <w:pStyle w:val="928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Номер лота на торгах</w:t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5" w:type="dxa"/>
            <w:textDirection w:val="lrTb"/>
            <w:noWrap w:val="false"/>
          </w:tcPr>
          <w:p>
            <w:pPr>
              <w:pStyle w:val="928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Цена продажи</w:t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58" w:type="dxa"/>
            <w:textDirection w:val="lrTb"/>
            <w:noWrap w:val="false"/>
          </w:tcPr>
          <w:p>
            <w:pPr>
              <w:pStyle w:val="928"/>
              <w:pBdr/>
              <w:spacing w:line="200" w:lineRule="atLeast"/>
              <w:ind w:right="2" w:left="360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1</w:t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016" w:type="dxa"/>
            <w:textDirection w:val="lrTb"/>
            <w:noWrap w:val="false"/>
          </w:tcPr>
          <w:tbl>
            <w:tblPr>
              <w:tblW w:w="0" w:type="auto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13"/>
              <w:gridCol w:w="1950"/>
            </w:tblGrid>
            <w:tr>
              <w:trPr/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513" w:type="dxa"/>
                  <w:textDirection w:val="lrTb"/>
                  <w:noWrap w:val="false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950" w:type="dxa"/>
                  <w:textDirection w:val="lrTb"/>
                  <w:noWrap w:val="false"/>
                </w:tcPr>
                <w:p>
                  <w:pPr>
                    <w:pBdr/>
                    <w:spacing/>
                    <w:ind/>
                    <w:jc w:val="both"/>
                    <w:rPr>
                      <w:color w:val="000000"/>
                      <w:sz w:val="22"/>
                      <w:lang w:val="en-US"/>
                    </w:rPr>
                  </w:pPr>
                  <w:r>
                    <w:rPr>
                      <w:color w:val="000000"/>
                      <w:sz w:val="22"/>
                      <w:lang w:val="en-US"/>
                    </w:rPr>
                  </w:r>
                  <w:r>
                    <w:rPr>
                      <w:color w:val="000000"/>
                      <w:sz w:val="22"/>
                      <w:lang w:val="en-US"/>
                    </w:rPr>
                  </w:r>
                  <w:r>
                    <w:rPr>
                      <w:color w:val="000000"/>
                      <w:sz w:val="22"/>
                      <w:lang w:val="en-US"/>
                    </w:rPr>
                  </w:r>
                </w:p>
              </w:tc>
            </w:tr>
          </w:tbl>
          <w:p>
            <w:pPr>
              <w:pBdr/>
              <w:spacing/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87" w:type="dxa"/>
            <w:textDirection w:val="lrTb"/>
            <w:noWrap w:val="false"/>
          </w:tcPr>
          <w:p>
            <w:pPr>
              <w:pStyle w:val="928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  <w:p>
            <w:pPr>
              <w:pStyle w:val="928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5" w:type="dxa"/>
            <w:textDirection w:val="lrTb"/>
            <w:noWrap w:val="false"/>
          </w:tcPr>
          <w:p>
            <w:pPr>
              <w:pStyle w:val="928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  <w:p>
            <w:pPr>
              <w:pStyle w:val="928"/>
              <w:pBdr/>
              <w:spacing w:line="200" w:lineRule="atLeast"/>
              <w:ind w:right="2" w:left="2"/>
              <w:jc w:val="both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960 000</w:t>
            </w:r>
            <w:r>
              <w:rPr>
                <w:color w:val="000000"/>
                <w:sz w:val="16"/>
                <w:szCs w:val="16"/>
                <w:lang w:val="en-US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58" w:type="dxa"/>
            <w:textDirection w:val="lrTb"/>
            <w:noWrap w:val="false"/>
          </w:tcPr>
          <w:p>
            <w:pPr>
              <w:pStyle w:val="928"/>
              <w:pBdr/>
              <w:spacing w:line="200" w:lineRule="atLeast"/>
              <w:ind w:right="2" w:left="360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016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Автомобиль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марки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– Lada (ВАЗ) Niva,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год выпуска – 2024,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VIN – XTA212300R0902074.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8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Ограничение- залог АО «ТБанк».</w:t>
            </w:r>
            <w:r/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87" w:type="dxa"/>
            <w:textDirection w:val="lrTb"/>
            <w:noWrap w:val="false"/>
          </w:tcPr>
          <w:p>
            <w:pPr>
              <w:pStyle w:val="928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5" w:type="dxa"/>
            <w:textDirection w:val="lrTb"/>
            <w:noWrap w:val="false"/>
          </w:tcPr>
          <w:p>
            <w:pPr>
              <w:pStyle w:val="928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</w:tr>
    </w:tbl>
    <w:p>
      <w:pPr>
        <w:pStyle w:val="930"/>
        <w:pBdr/>
        <w:tabs>
          <w:tab w:val="left" w:leader="none" w:pos="600"/>
          <w:tab w:val="left" w:leader="none" w:pos="709"/>
          <w:tab w:val="left" w:leader="none" w:pos="2977"/>
        </w:tabs>
        <w:spacing/>
        <w:ind w:right="-2" w:firstLine="709" w:left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30"/>
        <w:pBdr/>
        <w:tabs>
          <w:tab w:val="left" w:leader="none" w:pos="1080"/>
          <w:tab w:val="left" w:leader="none" w:pos="1189"/>
          <w:tab w:val="left" w:leader="none" w:pos="3217"/>
        </w:tabs>
        <w:spacing/>
        <w:ind w:right="-2" w:left="240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30"/>
        <w:pBdr/>
        <w:tabs>
          <w:tab w:val="left" w:leader="none" w:pos="1080"/>
          <w:tab w:val="left" w:leader="none" w:pos="1189"/>
          <w:tab w:val="left" w:leader="none" w:pos="3217"/>
        </w:tabs>
        <w:spacing/>
        <w:ind w:right="-2" w:left="24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2. Обязанности сторон.</w:t>
      </w:r>
      <w:r>
        <w:rPr>
          <w:b/>
          <w:bCs/>
          <w:color w:val="000000"/>
          <w:sz w:val="22"/>
          <w:szCs w:val="22"/>
        </w:rPr>
      </w:r>
      <w:r>
        <w:rPr>
          <w:b/>
          <w:bCs/>
          <w:color w:val="000000"/>
          <w:sz w:val="22"/>
          <w:szCs w:val="22"/>
        </w:rPr>
      </w:r>
    </w:p>
    <w:p>
      <w:pPr>
        <w:pBdr/>
        <w:tabs>
          <w:tab w:val="left" w:leader="none" w:pos="1843"/>
          <w:tab w:val="left" w:leader="none" w:pos="6237"/>
        </w:tabs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2.1. Продавец обязуется: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tabs>
          <w:tab w:val="left" w:leader="none" w:pos="1843"/>
          <w:tab w:val="left" w:leader="none" w:pos="6237"/>
        </w:tabs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2.1.1. Передать продаваемое имущество Покупателю по акту приема-передачи в течение пяти дней после его полной оплаты.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tabs>
          <w:tab w:val="left" w:leader="none" w:pos="1843"/>
          <w:tab w:val="left" w:leader="none" w:pos="6237"/>
        </w:tabs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2.2. Покупатель обязуется: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tabs>
          <w:tab w:val="left" w:leader="none" w:pos="1843"/>
          <w:tab w:val="left" w:leader="none" w:pos="6237"/>
        </w:tabs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2.2.1. Уплатить за имущество его цену в соответствии с п. 3 настоящего договора.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2.2.2. Принять продаваемое имущество от Продавца по акту приема-передачи в течение пяти дней после его полной оплаты.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Bdr/>
        <w:spacing/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 xml:space="preserve">3. Сумма договора и порядок расчетов.</w:t>
      </w:r>
      <w:r>
        <w:rPr>
          <w:b/>
          <w:bCs/>
          <w:color w:val="000000"/>
          <w:sz w:val="22"/>
        </w:rPr>
      </w:r>
      <w:r>
        <w:rPr>
          <w:b/>
          <w:bCs/>
          <w:color w:val="000000"/>
          <w:sz w:val="22"/>
        </w:rPr>
      </w:r>
    </w:p>
    <w:p>
      <w:pPr>
        <w:pStyle w:val="929"/>
        <w:pBdr/>
        <w:spacing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r>
        <w:rPr>
          <w:color w:val="000000"/>
          <w:sz w:val="22"/>
        </w:rPr>
        <w:t xml:space="preserve">имущества  от</w:t>
      </w:r>
      <w:r>
        <w:rPr>
          <w:color w:val="000000"/>
          <w:sz w:val="22"/>
        </w:rPr>
        <w:t xml:space="preserve">  «____» ________ 201__ г., составляет __________ (________________) рублей __ копеек.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Style w:val="929"/>
        <w:pBdr/>
        <w:spacing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r>
        <w:rPr>
          <w:color w:val="000000"/>
          <w:sz w:val="22"/>
        </w:rPr>
        <w:t xml:space="preserve">ОнЛайн</w:t>
      </w:r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 xml:space="preserve">в</w:t>
      </w:r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 xml:space="preserve">, засчитывается в счет оплаты Покупателем имущества.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Style w:val="929"/>
        <w:pBdr/>
        <w:spacing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 xml:space="preserve">рублей __ копеек.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Style w:val="929"/>
        <w:pBdr/>
        <w:spacing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 xml:space="preserve">Продавца</w:t>
      </w:r>
      <w:r>
        <w:rPr>
          <w:color w:val="000000"/>
          <w:sz w:val="22"/>
        </w:rPr>
        <w:t xml:space="preserve">, указанным в настоящем договоре, в течение тридцати дней со дня подписания настоящего договора.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r>
        <w:rPr>
          <w:color w:val="000000"/>
          <w:sz w:val="22"/>
        </w:rPr>
        <w:t xml:space="preserve">по оплате</w:t>
      </w:r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 xml:space="preserve">Продавца</w:t>
      </w:r>
      <w:r>
        <w:rPr>
          <w:color w:val="000000"/>
          <w:sz w:val="22"/>
        </w:rPr>
        <w:t xml:space="preserve"> в полном объеме.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Bdr/>
        <w:spacing/>
        <w:ind w:firstLine="900" w:left="-192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 xml:space="preserve">4. Передача имущества и переход права собственности.</w:t>
      </w:r>
      <w:r>
        <w:rPr>
          <w:b/>
          <w:bCs/>
          <w:color w:val="000000"/>
          <w:sz w:val="22"/>
        </w:rPr>
      </w:r>
      <w:r>
        <w:rPr>
          <w:b/>
          <w:bCs/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</w:t>
      </w:r>
      <w:r>
        <w:rPr>
          <w:color w:val="000000"/>
          <w:sz w:val="22"/>
        </w:rPr>
        <w:t xml:space="preserve">регистрации перехода права собственности на имущество документов заверенной банком Покупателя копи</w:t>
      </w:r>
      <w:r>
        <w:rPr>
          <w:color w:val="000000"/>
          <w:sz w:val="22"/>
        </w:rPr>
        <w:t xml:space="preserve">и 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4.2. Продавец передает покупателю все имеющиеся у него документы, относящиеся к имуществу.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20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Bdr/>
        <w:spacing/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 xml:space="preserve">5. Ответственность сторон.</w:t>
      </w:r>
      <w:r>
        <w:rPr>
          <w:b/>
          <w:bCs/>
          <w:color w:val="000000"/>
          <w:sz w:val="22"/>
        </w:rPr>
      </w:r>
      <w:r>
        <w:rPr>
          <w:b/>
          <w:bCs/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Bdr/>
        <w:spacing/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 xml:space="preserve">6. Расторжение договора.</w:t>
      </w:r>
      <w:r>
        <w:rPr>
          <w:b/>
          <w:bCs/>
          <w:color w:val="000000"/>
          <w:sz w:val="22"/>
        </w:rPr>
      </w:r>
      <w:r>
        <w:rPr>
          <w:b/>
          <w:bCs/>
          <w:color w:val="000000"/>
          <w:sz w:val="22"/>
        </w:rPr>
      </w:r>
    </w:p>
    <w:p>
      <w:pPr>
        <w:pBdr/>
        <w:spacing/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 xml:space="preserve"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  <w:r>
        <w:rPr>
          <w:bCs/>
          <w:color w:val="000000"/>
          <w:sz w:val="22"/>
        </w:rPr>
      </w:r>
      <w:r>
        <w:rPr>
          <w:bCs/>
          <w:color w:val="000000"/>
          <w:sz w:val="22"/>
        </w:rPr>
      </w:r>
    </w:p>
    <w:p>
      <w:pPr>
        <w:pBdr/>
        <w:spacing/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6.2. В случае, предусмотренном п. 6.1. настоящего договора, договор считается расторгнутым с момента</w:t>
      </w:r>
      <w:r>
        <w:rPr>
          <w:bCs/>
          <w:color w:val="000000"/>
          <w:sz w:val="22"/>
        </w:rPr>
        <w:t xml:space="preserve">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  <w:r>
        <w:rPr>
          <w:bCs/>
          <w:color w:val="000000"/>
          <w:sz w:val="22"/>
        </w:rPr>
      </w:r>
      <w:r>
        <w:rPr>
          <w:bCs/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 xml:space="preserve">6.3. В случае расторжения настоящего договора в порядке, предусмотренном п.6.1.</w:t>
      </w:r>
      <w:r>
        <w:rPr>
          <w:bCs/>
          <w:color w:val="000000"/>
          <w:sz w:val="22"/>
        </w:rPr>
        <w:t xml:space="preserve">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 xml:space="preserve">, Покупателю не возвращается, и он утрачивает задаток полностью.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Bdr/>
        <w:spacing/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 xml:space="preserve">7. Заключительные положения.</w:t>
      </w:r>
      <w:r>
        <w:rPr>
          <w:b/>
          <w:bCs/>
          <w:color w:val="000000"/>
          <w:sz w:val="22"/>
        </w:rPr>
      </w:r>
      <w:r>
        <w:rPr>
          <w:b/>
          <w:bCs/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r>
        <w:rPr>
          <w:color w:val="000000"/>
          <w:sz w:val="22"/>
        </w:rPr>
        <w:t xml:space="preserve">быть  расторгнут</w:t>
      </w:r>
      <w:r>
        <w:rPr>
          <w:color w:val="000000"/>
          <w:sz w:val="22"/>
        </w:rPr>
        <w:t xml:space="preserve"> так же по взаимному соглашению сторон.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7.2. Настоящий договор вступает в силу с момента его подписания.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r>
        <w:rPr>
          <w:color w:val="000000"/>
          <w:sz w:val="22"/>
        </w:rPr>
        <w:t xml:space="preserve">настоящего  Договора</w:t>
      </w:r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Московской</w:t>
      </w:r>
      <w:bookmarkStart w:id="0" w:name="_GoBack"/>
      <w:r/>
      <w:bookmarkEnd w:id="0"/>
      <w:r>
        <w:rPr>
          <w:color w:val="000000"/>
          <w:sz w:val="22"/>
        </w:rPr>
        <w:t xml:space="preserve"> области.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left="-900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Bdr/>
        <w:spacing/>
        <w:ind/>
        <w:jc w:val="center"/>
        <w:rPr>
          <w:color w:val="000000"/>
          <w:sz w:val="22"/>
        </w:rPr>
      </w:pPr>
      <w:r>
        <w:rPr>
          <w:color w:val="000000"/>
          <w:sz w:val="22"/>
        </w:rPr>
        <w:t xml:space="preserve">АДРЕСА И БАНКОВСКИЕ РЕКВИЗИТЫ СТОРОН.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/>
        <w:jc w:val="center"/>
        <w:rPr>
          <w:color w:val="000000"/>
          <w:sz w:val="22"/>
        </w:rPr>
      </w:pPr>
      <w:r>
        <w:rPr>
          <w:color w:val="000000"/>
          <w:sz w:val="22"/>
        </w:rPr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/>
        <w:jc w:val="center"/>
        <w:rPr>
          <w:color w:val="000000"/>
          <w:sz w:val="22"/>
        </w:rPr>
      </w:pPr>
      <w:r>
        <w:rPr>
          <w:color w:val="000000"/>
          <w:sz w:val="22"/>
        </w:rPr>
      </w:r>
      <w:r>
        <w:rPr>
          <w:color w:val="000000"/>
          <w:sz w:val="22"/>
        </w:rPr>
      </w:r>
      <w:r>
        <w:rPr>
          <w:color w:val="000000"/>
          <w:sz w:val="22"/>
        </w:rPr>
      </w:r>
    </w:p>
    <w:tbl>
      <w:tblPr>
        <w:tblInd w:w="55" w:type="dxa"/>
        <w:tblW w:w="0" w:type="auto"/>
        <w:tblCellMar>
          <w:left w:w="55" w:type="dxa"/>
          <w:top w:w="55" w:type="dxa"/>
          <w:right w:w="55" w:type="dxa"/>
          <w:bottom w:w="55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5158"/>
        <w:gridCol w:w="5477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158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Продавец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Bdr/>
              <w:spacing/>
              <w:ind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747"/>
              <w:pBdr/>
              <w:spacing/>
              <w:ind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Style w:val="932"/>
                <w:rFonts w:ascii="Times New Roman" w:hAnsi="Times New Roman" w:eastAsia="Times New Roman" w:cs="Times New Roman"/>
                <w:color w:val="0d0d0d"/>
                <w:sz w:val="22"/>
              </w:rPr>
              <w:t xml:space="preserve">Получатель: 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Жуков 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Михаил Николаевич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  <w:p>
            <w:pPr>
              <w:pStyle w:val="747"/>
              <w:pBdr/>
              <w:shd w:val="clear" w:color="auto" w:fill="ffffff"/>
              <w:spacing/>
              <w:ind/>
              <w:jc w:val="both"/>
              <w:rPr>
                <w:rStyle w:val="932"/>
                <w:rFonts w:ascii="Times New Roman" w:hAnsi="Times New Roman" w:cs="Times New Roman"/>
                <w:color w:val="0d0d0d"/>
                <w:sz w:val="22"/>
                <w:szCs w:val="22"/>
              </w:rPr>
            </w:pPr>
            <w:r>
              <w:rPr>
                <w:rStyle w:val="932"/>
                <w:rFonts w:ascii="Times New Roman" w:hAnsi="Times New Roman" w:eastAsia="Times New Roman" w:cs="Times New Roman"/>
                <w:color w:val="0d0d0d"/>
                <w:sz w:val="22"/>
                <w:szCs w:val="22"/>
              </w:rPr>
              <w:t xml:space="preserve">Счёт получателя</w:t>
            </w:r>
            <w:r>
              <w:rPr>
                <w:rStyle w:val="932"/>
                <w:rFonts w:ascii="Times New Roman" w:hAnsi="Times New Roman" w:eastAsia="Times New Roman" w:cs="Times New Roman"/>
                <w:color w:val="0d0d0d"/>
                <w:sz w:val="22"/>
                <w:szCs w:val="22"/>
              </w:rPr>
              <w:t xml:space="preserve"> </w:t>
            </w:r>
            <w:r>
              <w:rPr>
                <w:rStyle w:val="932"/>
                <w:rFonts w:ascii="Times New Roman" w:hAnsi="Times New Roman" w:eastAsia="Times New Roman" w:cs="Times New Roman"/>
                <w:color w:val="0d0d0d"/>
                <w:sz w:val="22"/>
                <w:szCs w:val="22"/>
              </w:rPr>
              <w:t xml:space="preserve">- № </w:t>
            </w:r>
            <w:r>
              <w:rPr>
                <w:rFonts w:ascii="Times New Roman" w:hAnsi="Times New Roman" w:eastAsia="Times New Roman" w:cs="Times New Roman"/>
                <w:color w:val="262626"/>
                <w:spacing w:val="-4"/>
                <w:sz w:val="22"/>
                <w:szCs w:val="22"/>
                <w:highlight w:val="white"/>
              </w:rPr>
              <w:t xml:space="preserve">40817810077030158687</w:t>
            </w:r>
            <w:r>
              <w:rPr>
                <w:rStyle w:val="932"/>
                <w:rFonts w:ascii="Times New Roman" w:hAnsi="Times New Roman" w:cs="Times New Roman"/>
                <w:color w:val="0d0d0d"/>
                <w:sz w:val="22"/>
                <w:szCs w:val="22"/>
              </w:rPr>
            </w:r>
            <w:r>
              <w:rPr>
                <w:rStyle w:val="932"/>
                <w:rFonts w:ascii="Times New Roman" w:hAnsi="Times New Roman" w:cs="Times New Roman"/>
                <w:color w:val="0d0d0d"/>
                <w:sz w:val="22"/>
                <w:szCs w:val="22"/>
              </w:rPr>
            </w:r>
          </w:p>
          <w:p>
            <w:pPr>
              <w:pStyle w:val="747"/>
              <w:pBdr/>
              <w:shd w:val="clear" w:color="auto" w:fill="ffffff"/>
              <w:spacing/>
              <w:ind/>
              <w:jc w:val="both"/>
              <w:rPr>
                <w:rStyle w:val="932"/>
                <w:rFonts w:ascii="Times New Roman" w:hAnsi="Times New Roman" w:cs="Times New Roman"/>
                <w:color w:val="0d0d0d"/>
                <w:sz w:val="22"/>
                <w:szCs w:val="22"/>
              </w:rPr>
            </w:pPr>
            <w:r>
              <w:rPr>
                <w:rStyle w:val="932"/>
                <w:rFonts w:ascii="Times New Roman" w:hAnsi="Times New Roman" w:eastAsia="Times New Roman" w:cs="Times New Roman"/>
                <w:color w:val="0d0d0d"/>
                <w:sz w:val="22"/>
                <w:szCs w:val="22"/>
              </w:rPr>
              <w:t xml:space="preserve">Банк</w:t>
            </w:r>
            <w:r>
              <w:rPr>
                <w:rStyle w:val="932"/>
                <w:rFonts w:ascii="Times New Roman" w:hAnsi="Times New Roman" w:eastAsia="Times New Roman" w:cs="Times New Roman"/>
                <w:color w:val="0d0d0d"/>
                <w:sz w:val="22"/>
                <w:szCs w:val="22"/>
              </w:rPr>
              <w:t xml:space="preserve"> получателя:</w:t>
            </w:r>
            <w:r>
              <w:rPr>
                <w:rStyle w:val="932"/>
                <w:rFonts w:ascii="Times New Roman" w:hAnsi="Times New Roman" w:cs="Times New Roman"/>
                <w:color w:val="0d0d0d"/>
                <w:sz w:val="22"/>
                <w:szCs w:val="22"/>
              </w:rPr>
            </w:r>
            <w:r>
              <w:rPr>
                <w:rStyle w:val="932"/>
                <w:rFonts w:ascii="Times New Roman" w:hAnsi="Times New Roman" w:cs="Times New Roman"/>
                <w:color w:val="0d0d0d"/>
                <w:sz w:val="22"/>
                <w:szCs w:val="22"/>
              </w:rPr>
            </w:r>
          </w:p>
          <w:p>
            <w:pPr>
              <w:pStyle w:val="747"/>
              <w:pBdr/>
              <w:shd w:val="clear" w:color="auto" w:fill="ffffff"/>
              <w:spacing/>
              <w:ind/>
              <w:jc w:val="both"/>
              <w:rPr>
                <w:rStyle w:val="932"/>
                <w:rFonts w:ascii="Times New Roman" w:hAnsi="Times New Roman" w:cs="Times New Roman"/>
                <w:color w:val="0d0d0d"/>
                <w:sz w:val="22"/>
                <w:szCs w:val="22"/>
              </w:rPr>
            </w:pPr>
            <w:r>
              <w:rPr>
                <w:rStyle w:val="932"/>
                <w:rFonts w:ascii="Times New Roman" w:hAnsi="Times New Roman" w:eastAsia="Times New Roman" w:cs="Times New Roman"/>
                <w:color w:val="0d0d0d"/>
                <w:sz w:val="22"/>
                <w:szCs w:val="22"/>
              </w:rPr>
              <w:t xml:space="preserve">Калужское отделение №8608 </w:t>
            </w:r>
            <w:r>
              <w:rPr>
                <w:rStyle w:val="932"/>
                <w:rFonts w:ascii="Times New Roman" w:hAnsi="Times New Roman" w:eastAsia="Times New Roman" w:cs="Times New Roman"/>
                <w:color w:val="0d0d0d"/>
                <w:sz w:val="22"/>
                <w:szCs w:val="22"/>
              </w:rPr>
              <w:t xml:space="preserve">ПАО СБЕРБАНК</w:t>
            </w:r>
            <w:r>
              <w:rPr>
                <w:rStyle w:val="932"/>
                <w:rFonts w:ascii="Times New Roman" w:hAnsi="Times New Roman" w:cs="Times New Roman"/>
                <w:color w:val="0d0d0d"/>
                <w:sz w:val="22"/>
                <w:szCs w:val="22"/>
              </w:rPr>
            </w:r>
            <w:r>
              <w:rPr>
                <w:rStyle w:val="932"/>
                <w:rFonts w:ascii="Times New Roman" w:hAnsi="Times New Roman" w:cs="Times New Roman"/>
                <w:color w:val="0d0d0d"/>
                <w:sz w:val="22"/>
                <w:szCs w:val="22"/>
              </w:rPr>
            </w:r>
          </w:p>
          <w:p>
            <w:pPr>
              <w:pStyle w:val="747"/>
              <w:pBdr/>
              <w:shd w:val="clear" w:color="auto" w:fill="ffffff"/>
              <w:spacing/>
              <w:ind/>
              <w:jc w:val="both"/>
              <w:rPr>
                <w:rStyle w:val="932"/>
                <w:rFonts w:ascii="Times New Roman" w:hAnsi="Times New Roman" w:cs="Times New Roman"/>
                <w:color w:val="0d0d0d"/>
                <w:sz w:val="22"/>
                <w:szCs w:val="22"/>
                <w:highlight w:val="none"/>
              </w:rPr>
            </w:pPr>
            <w:r>
              <w:rPr>
                <w:rStyle w:val="932"/>
                <w:rFonts w:ascii="Times New Roman" w:hAnsi="Times New Roman" w:eastAsia="Times New Roman" w:cs="Times New Roman"/>
                <w:color w:val="0d0d0d"/>
                <w:sz w:val="22"/>
                <w:szCs w:val="22"/>
              </w:rPr>
              <w:t xml:space="preserve">БИК Банка</w:t>
            </w:r>
            <w:r>
              <w:rPr>
                <w:rStyle w:val="932"/>
                <w:rFonts w:ascii="Times New Roman" w:hAnsi="Times New Roman" w:eastAsia="Times New Roman" w:cs="Times New Roman"/>
                <w:color w:val="0d0d0d"/>
                <w:sz w:val="22"/>
                <w:szCs w:val="22"/>
              </w:rPr>
              <w:t xml:space="preserve"> </w:t>
            </w:r>
            <w:r>
              <w:rPr>
                <w:rStyle w:val="932"/>
                <w:rFonts w:ascii="Times New Roman" w:hAnsi="Times New Roman" w:eastAsia="Times New Roman" w:cs="Times New Roman"/>
                <w:color w:val="0d0d0d"/>
                <w:sz w:val="22"/>
                <w:szCs w:val="22"/>
              </w:rPr>
              <w:t xml:space="preserve">получателя-</w:t>
            </w:r>
            <w:r>
              <w:rPr>
                <w:rStyle w:val="932"/>
                <w:rFonts w:ascii="Times New Roman" w:hAnsi="Times New Roman" w:eastAsia="Times New Roman" w:cs="Times New Roman"/>
                <w:color w:val="0d0d0d"/>
                <w:sz w:val="22"/>
                <w:szCs w:val="22"/>
              </w:rPr>
              <w:t xml:space="preserve"> </w:t>
            </w:r>
            <w:r>
              <w:rPr>
                <w:rStyle w:val="932"/>
                <w:rFonts w:ascii="Times New Roman" w:hAnsi="Times New Roman" w:eastAsia="Times New Roman" w:cs="Times New Roman"/>
                <w:color w:val="0d0d0d"/>
                <w:sz w:val="22"/>
                <w:szCs w:val="22"/>
              </w:rPr>
              <w:t xml:space="preserve">042908612 Корреспондентский счёт- 30101810100000000612</w:t>
            </w:r>
            <w:r>
              <w:rPr>
                <w:rStyle w:val="932"/>
                <w:rFonts w:ascii="Times New Roman" w:hAnsi="Times New Roman" w:cs="Times New Roman"/>
                <w:color w:val="0d0d0d"/>
                <w:sz w:val="22"/>
                <w:szCs w:val="22"/>
                <w:highlight w:val="none"/>
              </w:rPr>
            </w:r>
            <w:r>
              <w:rPr>
                <w:rStyle w:val="932"/>
                <w:rFonts w:ascii="Times New Roman" w:hAnsi="Times New Roman" w:cs="Times New Roman"/>
                <w:color w:val="0d0d0d"/>
                <w:sz w:val="22"/>
                <w:szCs w:val="22"/>
                <w:highlight w:val="none"/>
              </w:rPr>
            </w:r>
          </w:p>
          <w:p>
            <w:pPr>
              <w:pBdr/>
              <w:shd w:val="clear" w:color="auto" w:fill="ffffff"/>
              <w:spacing/>
              <w:ind/>
              <w:jc w:val="both"/>
              <w:rPr>
                <w:rStyle w:val="932"/>
                <w:rFonts w:ascii="Times New Roman" w:hAnsi="Times New Roman" w:cs="Times New Roman"/>
                <w:color w:val="0d0d0d"/>
                <w:sz w:val="22"/>
                <w:szCs w:val="22"/>
                <w:highlight w:val="none"/>
              </w:rPr>
            </w:pPr>
            <w:r>
              <w:rPr>
                <w:rStyle w:val="932"/>
                <w:rFonts w:ascii="Times New Roman" w:hAnsi="Times New Roman" w:eastAsia="Times New Roman" w:cs="Times New Roman"/>
                <w:color w:val="0d0d0d"/>
                <w:sz w:val="22"/>
                <w:szCs w:val="22"/>
                <w:highlight w:val="none"/>
              </w:rPr>
              <w:t xml:space="preserve">ИНН-</w:t>
            </w:r>
            <w:r>
              <w:rPr>
                <w:rFonts w:ascii="Times New Roman" w:hAnsi="Times New Roman" w:eastAsia="Times New Roman" w:cs="Times New Roman"/>
                <w:color w:val="262626"/>
                <w:spacing w:val="-4"/>
                <w:sz w:val="22"/>
                <w:szCs w:val="22"/>
                <w:highlight w:val="white"/>
              </w:rPr>
              <w:t xml:space="preserve">7707083893</w:t>
            </w:r>
            <w:r>
              <w:rPr>
                <w:rStyle w:val="932"/>
                <w:rFonts w:ascii="Times New Roman" w:hAnsi="Times New Roman" w:cs="Times New Roman"/>
                <w:color w:val="0d0d0d"/>
                <w:sz w:val="22"/>
                <w:szCs w:val="22"/>
                <w:highlight w:val="none"/>
              </w:rPr>
            </w:r>
            <w:r>
              <w:rPr>
                <w:rStyle w:val="932"/>
                <w:rFonts w:ascii="Times New Roman" w:hAnsi="Times New Roman" w:cs="Times New Roman"/>
                <w:color w:val="0d0d0d"/>
                <w:sz w:val="22"/>
                <w:szCs w:val="22"/>
                <w:highlight w:val="none"/>
              </w:rPr>
            </w:r>
          </w:p>
          <w:p>
            <w:pPr>
              <w:pBdr/>
              <w:shd w:val="clear" w:color="auto" w:fill="ffffff"/>
              <w:spacing/>
              <w:ind/>
              <w:jc w:val="both"/>
              <w:rPr>
                <w:rStyle w:val="932"/>
                <w:rFonts w:ascii="Times New Roman" w:hAnsi="Times New Roman" w:cs="Times New Roman"/>
                <w:color w:val="0d0d0d"/>
                <w:sz w:val="22"/>
                <w:szCs w:val="22"/>
              </w:rPr>
            </w:pPr>
            <w:r>
              <w:rPr>
                <w:rStyle w:val="932"/>
                <w:rFonts w:ascii="Times New Roman" w:hAnsi="Times New Roman" w:eastAsia="Times New Roman" w:cs="Times New Roman"/>
                <w:color w:val="0d0d0d"/>
                <w:sz w:val="22"/>
                <w:szCs w:val="22"/>
                <w:highlight w:val="none"/>
              </w:rPr>
              <w:t xml:space="preserve">КПП-</w:t>
            </w:r>
            <w:r>
              <w:rPr>
                <w:rFonts w:ascii="Times New Roman" w:hAnsi="Times New Roman" w:eastAsia="Times New Roman" w:cs="Times New Roman"/>
                <w:color w:val="262626"/>
                <w:spacing w:val="-4"/>
                <w:sz w:val="22"/>
                <w:szCs w:val="22"/>
                <w:highlight w:val="white"/>
              </w:rPr>
              <w:t xml:space="preserve">760402001</w:t>
            </w:r>
            <w:r>
              <w:rPr>
                <w:rStyle w:val="932"/>
                <w:rFonts w:ascii="Times New Roman" w:hAnsi="Times New Roman" w:cs="Times New Roman"/>
                <w:color w:val="0d0d0d"/>
                <w:sz w:val="22"/>
                <w:szCs w:val="22"/>
              </w:rPr>
            </w:r>
            <w:r>
              <w:rPr>
                <w:rStyle w:val="932"/>
                <w:rFonts w:ascii="Times New Roman" w:hAnsi="Times New Roman" w:cs="Times New Roman"/>
                <w:color w:val="0d0d0d"/>
                <w:sz w:val="22"/>
                <w:szCs w:val="22"/>
              </w:rPr>
            </w:r>
          </w:p>
          <w:p>
            <w:pPr>
              <w:pBdr>
                <w:left w:val="none" w:color="000000" w:sz="4" w:space="0"/>
              </w:pBdr>
              <w:shd w:val="clear" w:color="auto" w:fill="ffffff"/>
              <w:spacing w:line="290" w:lineRule="atLeast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Style w:val="932"/>
                <w:rFonts w:ascii="Times New Roman" w:hAnsi="Times New Roman" w:eastAsia="Times New Roman" w:cs="Times New Roman"/>
                <w:color w:val="333333"/>
                <w:sz w:val="22"/>
              </w:rPr>
              <w:t xml:space="preserve">Назначение платежа: оплата по договору купли -продажи за (наименование имущества, лота) в процедуре банкротства по делу</w:t>
            </w:r>
            <w:r>
              <w:rPr>
                <w:rStyle w:val="932"/>
                <w:rFonts w:ascii="Times New Roman" w:hAnsi="Times New Roman" w:eastAsia="Times New Roman" w:cs="Times New Roman"/>
                <w:color w:val="333333"/>
                <w:sz w:val="22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Style w:val="932"/>
                <w:rFonts w:ascii="Times New Roman" w:hAnsi="Times New Roman" w:eastAsia="Times New Roman" w:cs="Times New Roman"/>
                <w:color w:val="333333"/>
                <w:sz w:val="22"/>
              </w:rPr>
              <w:t xml:space="preserve"> № </w:t>
            </w:r>
            <w:r>
              <w:rPr>
                <w:rStyle w:val="1_2"/>
                <w:rFonts w:ascii="Times New Roman" w:hAnsi="Times New Roman" w:eastAsia="Times New Roman" w:cs="Times New Roman"/>
                <w:sz w:val="22"/>
                <w:szCs w:val="22"/>
              </w:rPr>
              <w:t xml:space="preserve">А41-114407/2024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pBdr/>
              <w:shd w:val="clear" w:color="auto" w:fill="ffffff"/>
              <w:spacing w:line="290" w:lineRule="atLeast"/>
              <w:ind/>
              <w:jc w:val="both"/>
              <w:rPr>
                <w:rStyle w:val="932"/>
                <w:color w:val="333333"/>
                <w:sz w:val="22"/>
              </w:rPr>
            </w:pPr>
            <w:r>
              <w:rPr>
                <w:color w:val="333333"/>
                <w:sz w:val="22"/>
              </w:rPr>
            </w:r>
            <w:r>
              <w:rPr>
                <w:rStyle w:val="932"/>
                <w:color w:val="333333"/>
                <w:sz w:val="22"/>
              </w:rPr>
            </w:r>
            <w:r>
              <w:rPr>
                <w:rStyle w:val="932"/>
                <w:color w:val="333333"/>
                <w:sz w:val="22"/>
              </w:rPr>
            </w:r>
          </w:p>
          <w:tbl>
            <w:tblPr>
              <w:tblW w:w="9615" w:type="dxa"/>
              <w:tblBorders/>
              <w:tblLayout w:type="fixed"/>
              <w:tblpPr w:horzAnchor="margin" w:tblpXSpec="left" w:vertAnchor="text" w:tblpY="77" w:leftFromText="180" w:topFromText="0" w:rightFromText="180" w:bottomFromText="200"/>
              <w:tblLook w:val="04A0" w:firstRow="1" w:lastRow="0" w:firstColumn="1" w:lastColumn="0" w:noHBand="0" w:noVBand="1"/>
            </w:tblPr>
            <w:tblGrid>
              <w:gridCol w:w="9615"/>
            </w:tblGrid>
            <w:tr>
              <w:trPr>
                <w:trHeight w:val="2843"/>
              </w:trPr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9615" w:type="dxa"/>
                  <w:textDirection w:val="lrTb"/>
                  <w:noWrap w:val="false"/>
                </w:tcPr>
                <w:p>
                  <w:pPr>
                    <w:pStyle w:val="924"/>
                    <w:pBdr/>
                    <w:spacing w:line="276" w:lineRule="auto"/>
                    <w:ind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</w:p>
              </w:tc>
            </w:tr>
          </w:tbl>
          <w:p>
            <w:pPr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477" w:type="dxa"/>
            <w:textDirection w:val="lrTb"/>
            <w:noWrap w:val="false"/>
          </w:tcPr>
          <w:p>
            <w:pPr>
              <w:pStyle w:val="928"/>
              <w:pBdr/>
              <w:spacing/>
              <w:ind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               Покупатель</w:t>
            </w:r>
            <w:r>
              <w:rPr>
                <w:b/>
                <w:bCs/>
                <w:sz w:val="22"/>
              </w:rPr>
            </w:r>
            <w:r>
              <w:rPr>
                <w:b/>
                <w:bCs/>
                <w:sz w:val="22"/>
              </w:rPr>
            </w:r>
          </w:p>
        </w:tc>
      </w:tr>
    </w:tbl>
    <w:p>
      <w:pPr>
        <w:pStyle w:val="748"/>
        <w:numPr>
          <w:ilvl w:val="0"/>
          <w:numId w:val="1"/>
        </w:numPr>
        <w:pBdr/>
        <w:tabs>
          <w:tab w:val="left" w:leader="none" w:pos="709"/>
        </w:tabs>
        <w:spacing/>
        <w:ind/>
        <w:jc w:val="center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Bdr/>
        <w:spacing/>
        <w:ind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sectPr>
      <w:footerReference w:type="default" r:id="rId9"/>
      <w:footnotePr/>
      <w:endnotePr/>
      <w:type w:val="nextPage"/>
      <w:pgSz w:h="16838" w:orient="portrait" w:w="11906"/>
      <w:pgMar w:top="709" w:right="424" w:bottom="1276" w:left="851" w:header="720" w:footer="709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0"/>
      <w:pBdr/>
      <w:spacing/>
      <w:ind/>
      <w:jc w:val="center"/>
      <w:rPr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/>
  </w:p>
  <w:p>
    <w:pPr>
      <w:pStyle w:val="780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"/>
      <w:numFmt w:val="decimal"/>
      <w:pPr>
        <w:pBdr/>
        <w:tabs>
          <w:tab w:val="num" w:leader="none" w:pos="432"/>
        </w:tabs>
        <w:spacing/>
        <w:ind w:hanging="432" w:left="432"/>
      </w:pPr>
      <w:rPr/>
      <w:start w:val="1"/>
      <w:suff w:val="nothing"/>
    </w:lvl>
    <w:lvl w:ilvl="1">
      <w:isLgl w:val="false"/>
      <w:lvlJc w:val="left"/>
      <w:lvlText w:val=""/>
      <w:numFmt w:val="decimal"/>
      <w:pPr>
        <w:pBdr/>
        <w:tabs>
          <w:tab w:val="num" w:leader="none" w:pos="576"/>
        </w:tabs>
        <w:spacing/>
        <w:ind w:hanging="576" w:left="576"/>
      </w:pPr>
      <w:rPr/>
      <w:start w:val="1"/>
      <w:suff w:val="nothing"/>
    </w:lvl>
    <w:lvl w:ilvl="2">
      <w:isLgl w:val="false"/>
      <w:lvlJc w:val="left"/>
      <w:lvlText w:val=""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nothing"/>
    </w:lvl>
    <w:lvl w:ilvl="3">
      <w:isLgl w:val="false"/>
      <w:lvlJc w:val="left"/>
      <w:lvlText w:val=""/>
      <w:numFmt w:val="decimal"/>
      <w:pPr>
        <w:pBdr/>
        <w:tabs>
          <w:tab w:val="num" w:leader="none" w:pos="864"/>
        </w:tabs>
        <w:spacing/>
        <w:ind w:hanging="864" w:left="864"/>
      </w:pPr>
      <w:rPr/>
      <w:start w:val="1"/>
      <w:suff w:val="nothing"/>
    </w:lvl>
    <w:lvl w:ilvl="4">
      <w:isLgl w:val="false"/>
      <w:lvlJc w:val="left"/>
      <w:lvlText w:val=""/>
      <w:numFmt w:val="decimal"/>
      <w:pPr>
        <w:pBdr/>
        <w:tabs>
          <w:tab w:val="num" w:leader="none" w:pos="1008"/>
        </w:tabs>
        <w:spacing/>
        <w:ind w:hanging="1008" w:left="1008"/>
      </w:pPr>
      <w:rPr/>
      <w:start w:val="1"/>
      <w:suff w:val="nothing"/>
    </w:lvl>
    <w:lvl w:ilvl="5">
      <w:isLgl w:val="false"/>
      <w:lvlJc w:val="left"/>
      <w:lvlText w:val=""/>
      <w:numFmt w:val="decimal"/>
      <w:pPr>
        <w:pBdr/>
        <w:tabs>
          <w:tab w:val="num" w:leader="none" w:pos="1152"/>
        </w:tabs>
        <w:spacing/>
        <w:ind w:hanging="1152" w:left="1152"/>
      </w:pPr>
      <w:rPr/>
      <w:start w:val="1"/>
      <w:suff w:val="nothing"/>
    </w:lvl>
    <w:lvl w:ilvl="6">
      <w:isLgl w:val="false"/>
      <w:lvlJc w:val="left"/>
      <w:lvlText w:val=""/>
      <w:numFmt w:val="decimal"/>
      <w:pPr>
        <w:pBdr/>
        <w:tabs>
          <w:tab w:val="num" w:leader="none" w:pos="1296"/>
        </w:tabs>
        <w:spacing/>
        <w:ind w:hanging="1296" w:left="1296"/>
      </w:pPr>
      <w:rPr/>
      <w:start w:val="1"/>
      <w:suff w:val="nothing"/>
    </w:lvl>
    <w:lvl w:ilvl="7">
      <w:isLgl w:val="false"/>
      <w:lvlJc w:val="left"/>
      <w:lvlText w:val=""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nothing"/>
    </w:lvl>
    <w:lvl w:ilvl="8">
      <w:isLgl w:val="false"/>
      <w:lvlJc w:val="left"/>
      <w:lvlText w:val=""/>
      <w:numFmt w:val="decimal"/>
      <w:pPr>
        <w:pBdr/>
        <w:tabs>
          <w:tab w:val="num" w:leader="none" w:pos="1584"/>
        </w:tabs>
        <w:spacing/>
        <w:ind w:hanging="1584" w:left="1584"/>
      </w:pPr>
      <w:rPr/>
      <w:start w:val="1"/>
      <w:suff w:val="nothing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98">
    <w:name w:val="Placeholder Text"/>
    <w:basedOn w:val="757"/>
    <w:uiPriority w:val="99"/>
    <w:semiHidden/>
    <w:pPr>
      <w:pBdr/>
      <w:spacing/>
      <w:ind/>
    </w:pPr>
    <w:rPr>
      <w:color w:val="666666"/>
    </w:rPr>
  </w:style>
  <w:style w:type="character" w:styleId="721">
    <w:name w:val="Heading 1 Char"/>
    <w:basedOn w:val="757"/>
    <w:link w:val="74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722">
    <w:name w:val="Heading 3 Char"/>
    <w:basedOn w:val="757"/>
    <w:link w:val="75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723">
    <w:name w:val="Heading 4 Char"/>
    <w:basedOn w:val="757"/>
    <w:link w:val="75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724">
    <w:name w:val="Heading 5 Char"/>
    <w:basedOn w:val="757"/>
    <w:link w:val="75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725">
    <w:name w:val="Heading 6 Char"/>
    <w:basedOn w:val="757"/>
    <w:link w:val="75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26">
    <w:name w:val="Heading 7 Char"/>
    <w:basedOn w:val="757"/>
    <w:link w:val="75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27">
    <w:name w:val="Heading 8 Char"/>
    <w:basedOn w:val="757"/>
    <w:link w:val="75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28">
    <w:name w:val="Heading 9 Char"/>
    <w:basedOn w:val="757"/>
    <w:link w:val="75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29">
    <w:name w:val="Title Char"/>
    <w:basedOn w:val="757"/>
    <w:link w:val="77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30">
    <w:name w:val="Subtitle Char"/>
    <w:basedOn w:val="757"/>
    <w:link w:val="77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31">
    <w:name w:val="Quote Char"/>
    <w:basedOn w:val="757"/>
    <w:link w:val="77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732">
    <w:name w:val="Intense Emphasis"/>
    <w:basedOn w:val="75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33">
    <w:name w:val="Intense Quote Char"/>
    <w:basedOn w:val="757"/>
    <w:link w:val="77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734">
    <w:name w:val="Intense Reference"/>
    <w:basedOn w:val="75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35">
    <w:name w:val="Subtle Emphasis"/>
    <w:basedOn w:val="75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36">
    <w:name w:val="Emphasis"/>
    <w:basedOn w:val="757"/>
    <w:uiPriority w:val="20"/>
    <w:qFormat/>
    <w:pPr>
      <w:pBdr/>
      <w:spacing/>
      <w:ind/>
    </w:pPr>
    <w:rPr>
      <w:i/>
      <w:iCs/>
    </w:rPr>
  </w:style>
  <w:style w:type="character" w:styleId="737">
    <w:name w:val="Strong"/>
    <w:basedOn w:val="757"/>
    <w:uiPriority w:val="22"/>
    <w:qFormat/>
    <w:pPr>
      <w:pBdr/>
      <w:spacing/>
      <w:ind/>
    </w:pPr>
    <w:rPr>
      <w:b/>
      <w:bCs/>
    </w:rPr>
  </w:style>
  <w:style w:type="character" w:styleId="738">
    <w:name w:val="Subtle Reference"/>
    <w:basedOn w:val="75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39">
    <w:name w:val="Book Title"/>
    <w:basedOn w:val="757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40">
    <w:name w:val="Header Char"/>
    <w:basedOn w:val="757"/>
    <w:link w:val="778"/>
    <w:uiPriority w:val="99"/>
    <w:pPr>
      <w:pBdr/>
      <w:spacing/>
      <w:ind/>
    </w:pPr>
  </w:style>
  <w:style w:type="character" w:styleId="741">
    <w:name w:val="Footnote Text Char"/>
    <w:basedOn w:val="757"/>
    <w:link w:val="911"/>
    <w:uiPriority w:val="99"/>
    <w:semiHidden/>
    <w:pPr>
      <w:pBdr/>
      <w:spacing/>
      <w:ind/>
    </w:pPr>
    <w:rPr>
      <w:sz w:val="20"/>
      <w:szCs w:val="20"/>
    </w:rPr>
  </w:style>
  <w:style w:type="paragraph" w:styleId="742">
    <w:name w:val="endnote text"/>
    <w:basedOn w:val="747"/>
    <w:link w:val="74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743">
    <w:name w:val="Endnote Text Char"/>
    <w:basedOn w:val="757"/>
    <w:link w:val="742"/>
    <w:uiPriority w:val="99"/>
    <w:semiHidden/>
    <w:pPr>
      <w:pBdr/>
      <w:spacing/>
      <w:ind/>
    </w:pPr>
    <w:rPr>
      <w:sz w:val="20"/>
      <w:szCs w:val="20"/>
    </w:rPr>
  </w:style>
  <w:style w:type="character" w:styleId="744">
    <w:name w:val="endnote reference"/>
    <w:basedOn w:val="757"/>
    <w:uiPriority w:val="99"/>
    <w:semiHidden/>
    <w:unhideWhenUsed/>
    <w:pPr>
      <w:pBdr/>
      <w:spacing/>
      <w:ind/>
    </w:pPr>
    <w:rPr>
      <w:vertAlign w:val="superscript"/>
    </w:rPr>
  </w:style>
  <w:style w:type="character" w:styleId="745">
    <w:name w:val="FollowedHyperlink"/>
    <w:basedOn w:val="75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746">
    <w:name w:val="table of figures"/>
    <w:basedOn w:val="747"/>
    <w:next w:val="747"/>
    <w:uiPriority w:val="99"/>
    <w:unhideWhenUsed/>
    <w:pPr>
      <w:pBdr/>
      <w:spacing w:after="0" w:afterAutospacing="0"/>
      <w:ind/>
    </w:pPr>
  </w:style>
  <w:style w:type="paragraph" w:styleId="747" w:default="1">
    <w:name w:val="Normal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</w:style>
  <w:style w:type="paragraph" w:styleId="748">
    <w:name w:val="Heading 1"/>
    <w:basedOn w:val="747"/>
    <w:next w:val="747"/>
    <w:link w:val="760"/>
    <w:pPr>
      <w:keepNext w:val="true"/>
      <w:pBdr/>
      <w:spacing/>
      <w:ind/>
      <w:outlineLvl w:val="0"/>
    </w:pPr>
    <w:rPr>
      <w:b/>
      <w:bCs/>
      <w:u w:val="single"/>
    </w:rPr>
  </w:style>
  <w:style w:type="paragraph" w:styleId="749">
    <w:name w:val="Heading 2"/>
    <w:basedOn w:val="747"/>
    <w:next w:val="747"/>
    <w:link w:val="926"/>
    <w:pPr>
      <w:keepNext w:val="true"/>
      <w:pBdr/>
      <w:spacing/>
      <w:ind/>
      <w:jc w:val="center"/>
      <w:outlineLvl w:val="1"/>
    </w:pPr>
    <w:rPr>
      <w:b/>
      <w:bCs/>
    </w:rPr>
  </w:style>
  <w:style w:type="paragraph" w:styleId="750">
    <w:name w:val="Heading 3"/>
    <w:link w:val="762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2"/>
    </w:pPr>
    <w:rPr>
      <w:rFonts w:ascii="Arial" w:hAnsi="Arial" w:eastAsia="Arial" w:cs="Arial"/>
      <w:sz w:val="30"/>
      <w:szCs w:val="30"/>
      <w:lang w:eastAsia="en-US" w:bidi="en-US"/>
    </w:rPr>
  </w:style>
  <w:style w:type="paragraph" w:styleId="751">
    <w:name w:val="Heading 4"/>
    <w:link w:val="763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  <w:lang w:eastAsia="en-US" w:bidi="en-US"/>
    </w:rPr>
  </w:style>
  <w:style w:type="paragraph" w:styleId="752">
    <w:name w:val="Heading 5"/>
    <w:link w:val="764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  <w:lang w:eastAsia="en-US" w:bidi="en-US"/>
    </w:rPr>
  </w:style>
  <w:style w:type="paragraph" w:styleId="753">
    <w:name w:val="Heading 6"/>
    <w:link w:val="765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  <w:lang w:eastAsia="en-US" w:bidi="en-US"/>
    </w:rPr>
  </w:style>
  <w:style w:type="paragraph" w:styleId="754">
    <w:name w:val="Heading 7"/>
    <w:link w:val="766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  <w:lang w:eastAsia="en-US" w:bidi="en-US"/>
    </w:rPr>
  </w:style>
  <w:style w:type="paragraph" w:styleId="755">
    <w:name w:val="Heading 8"/>
    <w:link w:val="767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  <w:lang w:eastAsia="en-US" w:bidi="en-US"/>
    </w:rPr>
  </w:style>
  <w:style w:type="paragraph" w:styleId="756">
    <w:name w:val="Heading 9"/>
    <w:link w:val="768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  <w:lang w:eastAsia="en-US" w:bidi="en-US"/>
    </w:rPr>
  </w:style>
  <w:style w:type="character" w:styleId="757" w:default="1">
    <w:name w:val="Default Paragraph Font"/>
    <w:uiPriority w:val="1"/>
    <w:semiHidden/>
    <w:unhideWhenUsed/>
    <w:pPr>
      <w:pBdr/>
      <w:spacing/>
      <w:ind/>
    </w:pPr>
  </w:style>
  <w:style w:type="table" w:styleId="75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59" w:default="1">
    <w:name w:val="No List"/>
    <w:uiPriority w:val="99"/>
    <w:semiHidden/>
    <w:unhideWhenUsed/>
    <w:pPr>
      <w:pBdr/>
      <w:spacing/>
      <w:ind/>
    </w:pPr>
  </w:style>
  <w:style w:type="character" w:styleId="760" w:customStyle="1">
    <w:name w:val="Заголовок 1 Знак"/>
    <w:link w:val="748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61" w:customStyle="1">
    <w:name w:val="Heading 2 Char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62" w:customStyle="1">
    <w:name w:val="Заголовок 3 Знак"/>
    <w:link w:val="750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63" w:customStyle="1">
    <w:name w:val="Заголовок 4 Знак"/>
    <w:link w:val="751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64" w:customStyle="1">
    <w:name w:val="Заголовок 5 Знак"/>
    <w:link w:val="752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65" w:customStyle="1">
    <w:name w:val="Заголовок 6 Знак"/>
    <w:link w:val="753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66" w:customStyle="1">
    <w:name w:val="Заголовок 7 Знак"/>
    <w:link w:val="754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7" w:customStyle="1">
    <w:name w:val="Заголовок 8 Знак"/>
    <w:link w:val="755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68" w:customStyle="1">
    <w:name w:val="Заголовок 9 Знак"/>
    <w:link w:val="756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69">
    <w:name w:val="List Paragraph"/>
    <w:uiPriority w:val="34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 w:left="720"/>
      <w:contextualSpacing w:val="true"/>
    </w:pPr>
    <w:rPr>
      <w:szCs w:val="22"/>
      <w:lang w:eastAsia="en-US" w:bidi="en-US"/>
    </w:rPr>
  </w:style>
  <w:style w:type="paragraph" w:styleId="770">
    <w:name w:val="Title"/>
    <w:link w:val="771"/>
    <w:uiPriority w:val="10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00"/>
      <w:ind/>
      <w:contextualSpacing w:val="true"/>
    </w:pPr>
    <w:rPr>
      <w:sz w:val="48"/>
      <w:szCs w:val="48"/>
      <w:lang w:eastAsia="en-US" w:bidi="en-US"/>
    </w:rPr>
  </w:style>
  <w:style w:type="character" w:styleId="771" w:customStyle="1">
    <w:name w:val="Заголовок Знак"/>
    <w:link w:val="770"/>
    <w:uiPriority w:val="10"/>
    <w:pPr>
      <w:pBdr/>
      <w:spacing/>
      <w:ind/>
    </w:pPr>
    <w:rPr>
      <w:sz w:val="48"/>
      <w:szCs w:val="48"/>
    </w:rPr>
  </w:style>
  <w:style w:type="paragraph" w:styleId="772">
    <w:name w:val="Subtitle"/>
    <w:basedOn w:val="747"/>
    <w:link w:val="773"/>
    <w:pPr>
      <w:pBdr/>
      <w:spacing w:after="60"/>
      <w:ind/>
      <w:jc w:val="center"/>
      <w:outlineLvl w:val="1"/>
    </w:pPr>
    <w:rPr>
      <w:rFonts w:ascii="Arial" w:hAnsi="Arial"/>
      <w:sz w:val="24"/>
    </w:rPr>
  </w:style>
  <w:style w:type="character" w:styleId="773" w:customStyle="1">
    <w:name w:val="Подзаголовок Знак"/>
    <w:link w:val="772"/>
    <w:uiPriority w:val="11"/>
    <w:pPr>
      <w:pBdr/>
      <w:spacing/>
      <w:ind/>
    </w:pPr>
    <w:rPr>
      <w:sz w:val="24"/>
      <w:szCs w:val="24"/>
    </w:rPr>
  </w:style>
  <w:style w:type="paragraph" w:styleId="774">
    <w:name w:val="Quote"/>
    <w:link w:val="775"/>
    <w:uiPriority w:val="29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 w:right="720" w:left="720"/>
    </w:pPr>
    <w:rPr>
      <w:i/>
      <w:szCs w:val="22"/>
      <w:lang w:eastAsia="en-US" w:bidi="en-US"/>
    </w:rPr>
  </w:style>
  <w:style w:type="character" w:styleId="775" w:customStyle="1">
    <w:name w:val="Цитата 2 Знак"/>
    <w:link w:val="774"/>
    <w:uiPriority w:val="29"/>
    <w:pPr>
      <w:pBdr/>
      <w:spacing/>
      <w:ind/>
    </w:pPr>
    <w:rPr>
      <w:i/>
    </w:rPr>
  </w:style>
  <w:style w:type="paragraph" w:styleId="776">
    <w:name w:val="Intense Quote"/>
    <w:link w:val="777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  <w:between w:val="none" w:color="000000" w:sz="4" w:space="0"/>
      </w:pBdr>
      <w:shd w:val="clear" w:color="auto" w:fill="f2f2f2"/>
      <w:spacing/>
      <w:ind w:right="720" w:left="720"/>
    </w:pPr>
    <w:rPr>
      <w:i/>
      <w:szCs w:val="22"/>
      <w:lang w:eastAsia="en-US" w:bidi="en-US"/>
    </w:rPr>
  </w:style>
  <w:style w:type="character" w:styleId="777" w:customStyle="1">
    <w:name w:val="Выделенная цитата Знак"/>
    <w:link w:val="776"/>
    <w:uiPriority w:val="30"/>
    <w:pPr>
      <w:pBdr/>
      <w:spacing/>
      <w:ind/>
    </w:pPr>
    <w:rPr>
      <w:i/>
    </w:rPr>
  </w:style>
  <w:style w:type="paragraph" w:styleId="778">
    <w:name w:val="Header"/>
    <w:link w:val="779"/>
    <w:uiPriority w:val="9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tabs>
        <w:tab w:val="center" w:leader="none" w:pos="7143"/>
        <w:tab w:val="right" w:leader="none" w:pos="14287"/>
      </w:tabs>
      <w:spacing/>
      <w:ind/>
    </w:pPr>
    <w:rPr>
      <w:szCs w:val="22"/>
      <w:lang w:eastAsia="en-US" w:bidi="en-US"/>
    </w:rPr>
  </w:style>
  <w:style w:type="character" w:styleId="779" w:customStyle="1">
    <w:name w:val="Верхний колонтитул Знак"/>
    <w:link w:val="778"/>
    <w:uiPriority w:val="99"/>
    <w:pPr>
      <w:pBdr/>
      <w:spacing/>
      <w:ind/>
    </w:pPr>
  </w:style>
  <w:style w:type="paragraph" w:styleId="780">
    <w:name w:val="Footer"/>
    <w:basedOn w:val="747"/>
    <w:link w:val="783"/>
    <w:pPr>
      <w:pBdr/>
      <w:tabs>
        <w:tab w:val="center" w:leader="none" w:pos="4677"/>
        <w:tab w:val="right" w:leader="none" w:pos="9355"/>
      </w:tabs>
      <w:spacing/>
      <w:ind/>
    </w:pPr>
    <w:rPr>
      <w:color w:val="00000a"/>
      <w:szCs w:val="20"/>
      <w:lang w:bidi="ar-SA"/>
    </w:rPr>
  </w:style>
  <w:style w:type="character" w:styleId="781" w:customStyle="1">
    <w:name w:val="Footer Char"/>
    <w:uiPriority w:val="99"/>
    <w:pPr>
      <w:pBdr/>
      <w:spacing/>
      <w:ind/>
    </w:pPr>
  </w:style>
  <w:style w:type="paragraph" w:styleId="782">
    <w:name w:val="Caption"/>
    <w:uiPriority w:val="35"/>
    <w:semiHidden/>
    <w:unhideWhenUsed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line="276" w:lineRule="auto"/>
      <w:ind/>
    </w:pPr>
    <w:rPr>
      <w:b/>
      <w:bCs/>
      <w:color w:val="4f81bd"/>
      <w:sz w:val="18"/>
      <w:szCs w:val="18"/>
      <w:lang w:eastAsia="en-US" w:bidi="en-US"/>
    </w:rPr>
  </w:style>
  <w:style w:type="character" w:styleId="783" w:customStyle="1">
    <w:name w:val="Нижний колонтитул Знак"/>
    <w:link w:val="780"/>
    <w:uiPriority w:val="99"/>
    <w:pPr>
      <w:pBdr/>
      <w:spacing/>
      <w:ind/>
    </w:pPr>
  </w:style>
  <w:style w:type="table" w:styleId="784">
    <w:name w:val="Table Grid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Table Grid Light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Plain Table 1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Plain Table 2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Plain Table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Plain Table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Plain Table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1 Ligh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1 Light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Grid Table 1 Light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1 Light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1 Light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1 Light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1 Light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2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Grid Table 2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2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2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2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2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3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Grid Table 3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3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3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3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3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4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4 - Accent 1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Grid Table 4 - Accent 2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4 - Accent 3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4 - Accent 4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4 - Accent 5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4 - Accent 6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5 Dark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bfbfb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5 Dark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dae5f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Grid Table 5 Dark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f2d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5 Dark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eaf1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5 Dark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e5dfe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5 Dark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daeef3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5 Dark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fde9d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6 Colorful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6 Colorful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Grid Table 6 Colorful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Grid Table 6 Colorful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Grid Table 6 Colorful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Grid Table 6 Colorful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Grid Table 6 Colorful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7 Colorful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Grid Table 7 Colorful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Grid Table 7 Colorful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Grid Table 7 Colorful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Grid Table 7 Colorful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Grid Table 7 Colorful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Grid Table 7 Colorful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1 Ligh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1 Light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List Table 1 Light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1 Light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1 Light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1 Light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1 Light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2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List Table 2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2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2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2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2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3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List Table 3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3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3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3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3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4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List Table 4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4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4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4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4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5 Dark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auto" w:fill="7f7f7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5 Dark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auto" w:fill="4f81b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List Table 5 Dark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auto" w:fill="d99695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5 Dark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auto" w:fill="c3d69b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5 Dark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auto" w:fill="b2a1c6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5 Dark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auto" w:fill="92c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5 Dark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auto" w:fill="fac09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6 Colorful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6 Colorful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st Table 6 Colorful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st Table 6 Colorful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st Table 6 Colorful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st Table 6 Colorful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st Table 6 Colorful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7 Colorful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st Table 7 Colorful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List Table 7 Colorful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List Table 7 Colorful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List Table 7 Colorful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List Table 7 Colorful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List Table 7 Colorful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Lined - Accen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Lined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Lined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Lined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Lined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Lined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Lined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Bordered &amp; Lined - Accen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Bordered &amp; Lined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Bordered &amp; Lined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Bordered &amp; Lined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Bordered &amp; Lined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Bordered &amp; Lined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Bordered &amp; Lined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Bordered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Bordered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Bordered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Bordered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Bordered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Bordered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Bordered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10">
    <w:name w:val="Hyperlink"/>
    <w:pPr>
      <w:pBdr/>
      <w:spacing/>
      <w:ind/>
    </w:pPr>
    <w:rPr>
      <w:color w:val="0000ff"/>
      <w:u w:val="single"/>
    </w:rPr>
  </w:style>
  <w:style w:type="paragraph" w:styleId="911">
    <w:name w:val="footnote text"/>
    <w:link w:val="912"/>
    <w:uiPriority w:val="99"/>
    <w:semiHidden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40"/>
      <w:ind/>
    </w:pPr>
    <w:rPr>
      <w:sz w:val="18"/>
      <w:szCs w:val="22"/>
      <w:lang w:eastAsia="en-US" w:bidi="en-US"/>
    </w:rPr>
  </w:style>
  <w:style w:type="character" w:styleId="912" w:customStyle="1">
    <w:name w:val="Текст сноски Знак"/>
    <w:link w:val="911"/>
    <w:uiPriority w:val="99"/>
    <w:pPr>
      <w:pBdr/>
      <w:spacing/>
      <w:ind/>
    </w:pPr>
    <w:rPr>
      <w:sz w:val="18"/>
    </w:rPr>
  </w:style>
  <w:style w:type="character" w:styleId="913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14">
    <w:name w:val="toc 1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/>
    </w:pPr>
    <w:rPr>
      <w:szCs w:val="22"/>
      <w:lang w:eastAsia="en-US" w:bidi="en-US"/>
    </w:rPr>
  </w:style>
  <w:style w:type="paragraph" w:styleId="915">
    <w:name w:val="toc 2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283"/>
    </w:pPr>
    <w:rPr>
      <w:szCs w:val="22"/>
      <w:lang w:eastAsia="en-US" w:bidi="en-US"/>
    </w:rPr>
  </w:style>
  <w:style w:type="paragraph" w:styleId="916">
    <w:name w:val="toc 3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567"/>
    </w:pPr>
    <w:rPr>
      <w:szCs w:val="22"/>
      <w:lang w:eastAsia="en-US" w:bidi="en-US"/>
    </w:rPr>
  </w:style>
  <w:style w:type="paragraph" w:styleId="917">
    <w:name w:val="toc 4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850"/>
    </w:pPr>
    <w:rPr>
      <w:szCs w:val="22"/>
      <w:lang w:eastAsia="en-US" w:bidi="en-US"/>
    </w:rPr>
  </w:style>
  <w:style w:type="paragraph" w:styleId="918">
    <w:name w:val="toc 5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1134"/>
    </w:pPr>
    <w:rPr>
      <w:szCs w:val="22"/>
      <w:lang w:eastAsia="en-US" w:bidi="en-US"/>
    </w:rPr>
  </w:style>
  <w:style w:type="paragraph" w:styleId="919">
    <w:name w:val="toc 6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1417"/>
    </w:pPr>
    <w:rPr>
      <w:szCs w:val="22"/>
      <w:lang w:eastAsia="en-US" w:bidi="en-US"/>
    </w:rPr>
  </w:style>
  <w:style w:type="paragraph" w:styleId="920">
    <w:name w:val="toc 7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1701"/>
    </w:pPr>
    <w:rPr>
      <w:szCs w:val="22"/>
      <w:lang w:eastAsia="en-US" w:bidi="en-US"/>
    </w:rPr>
  </w:style>
  <w:style w:type="paragraph" w:styleId="921">
    <w:name w:val="toc 8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1984"/>
    </w:pPr>
    <w:rPr>
      <w:szCs w:val="22"/>
      <w:lang w:eastAsia="en-US" w:bidi="en-US"/>
    </w:rPr>
  </w:style>
  <w:style w:type="paragraph" w:styleId="922">
    <w:name w:val="toc 9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2268"/>
    </w:pPr>
    <w:rPr>
      <w:szCs w:val="22"/>
      <w:lang w:eastAsia="en-US" w:bidi="en-US"/>
    </w:rPr>
  </w:style>
  <w:style w:type="paragraph" w:styleId="923">
    <w:name w:val="TOC Heading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</w:style>
  <w:style w:type="paragraph" w:styleId="924" w:customStyle="1">
    <w:name w:val="Default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000000"/>
      <w:sz w:val="24"/>
      <w:szCs w:val="24"/>
    </w:rPr>
  </w:style>
  <w:style w:type="paragraph" w:styleId="925">
    <w:name w:val="No Spacing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rFonts w:ascii="Calibri" w:hAnsi="Calibri" w:eastAsia="Calibri"/>
      <w:sz w:val="22"/>
      <w:szCs w:val="22"/>
      <w:lang w:eastAsia="en-US"/>
    </w:rPr>
  </w:style>
  <w:style w:type="character" w:styleId="926" w:customStyle="1">
    <w:name w:val="Заголовок 2 Знак"/>
    <w:link w:val="749"/>
    <w:pPr>
      <w:pBdr/>
      <w:spacing/>
      <w:ind/>
    </w:pPr>
    <w:rPr>
      <w:b/>
      <w:bCs/>
      <w:sz w:val="24"/>
      <w:szCs w:val="24"/>
      <w:lang w:val="ru-RU" w:eastAsia="ru-RU" w:bidi="ar-SA"/>
    </w:rPr>
  </w:style>
  <w:style w:type="paragraph" w:styleId="927" w:customStyle="1">
    <w:name w:val="ConsPlusNormal"/>
    <w:next w:val="747"/>
    <w:pPr>
      <w:widowControl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 w:firstLine="720"/>
    </w:pPr>
    <w:rPr>
      <w:rFonts w:ascii="Arial" w:hAnsi="Arial" w:eastAsia="Arial"/>
      <w:szCs w:val="22"/>
      <w:lang w:bidi="ru-RU"/>
    </w:rPr>
  </w:style>
  <w:style w:type="paragraph" w:styleId="928" w:customStyle="1">
    <w:name w:val="Содержимое таблицы"/>
    <w:basedOn w:val="747"/>
    <w:pPr>
      <w:pBdr/>
      <w:spacing/>
      <w:ind/>
    </w:pPr>
  </w:style>
  <w:style w:type="paragraph" w:styleId="929">
    <w:name w:val="Body Text Indent"/>
    <w:basedOn w:val="747"/>
    <w:pPr>
      <w:pBdr/>
      <w:tabs>
        <w:tab w:val="left" w:leader="none" w:pos="709"/>
      </w:tabs>
      <w:spacing/>
      <w:ind w:firstLine="720" w:left="283"/>
      <w:jc w:val="both"/>
    </w:pPr>
    <w:rPr>
      <w:color w:val="00000a"/>
      <w:lang w:bidi="ar-SA"/>
    </w:rPr>
  </w:style>
  <w:style w:type="paragraph" w:styleId="930">
    <w:name w:val="Block Text"/>
    <w:basedOn w:val="747"/>
    <w:pPr>
      <w:pBdr/>
      <w:tabs>
        <w:tab w:val="left" w:leader="none" w:pos="4111"/>
      </w:tabs>
      <w:spacing/>
      <w:ind w:right="-760" w:left="1134"/>
      <w:jc w:val="both"/>
    </w:pPr>
    <w:rPr>
      <w:color w:val="00000a"/>
      <w:sz w:val="28"/>
      <w:szCs w:val="28"/>
      <w:lang w:bidi="ar-SA"/>
    </w:rPr>
  </w:style>
  <w:style w:type="paragraph" w:styleId="931" w:customStyle="1">
    <w:name w:val="Название"/>
    <w:basedOn w:val="747"/>
    <w:next w:val="772"/>
    <w:pPr>
      <w:pBdr/>
      <w:tabs>
        <w:tab w:val="left" w:leader="none" w:pos="709"/>
      </w:tabs>
      <w:spacing/>
      <w:ind/>
      <w:jc w:val="center"/>
    </w:pPr>
    <w:rPr>
      <w:b/>
      <w:bCs/>
      <w:color w:val="00000a"/>
      <w:sz w:val="36"/>
      <w:lang w:bidi="ar-SA"/>
    </w:rPr>
  </w:style>
  <w:style w:type="character" w:styleId="932" w:customStyle="1">
    <w:name w:val="blk"/>
    <w:pPr>
      <w:pBdr/>
      <w:spacing/>
      <w:ind/>
    </w:pPr>
  </w:style>
  <w:style w:type="character" w:styleId="933" w:customStyle="1">
    <w:name w:val="highlight4"/>
    <w:next w:val="773"/>
    <w:pPr>
      <w:pBdr/>
      <w:spacing/>
      <w:ind/>
    </w:pPr>
    <w:rPr>
      <w:rFonts w:ascii="Times New Roman" w:hAnsi="Times New Roman" w:cs="Times New Roman"/>
      <w:color w:val="000000"/>
    </w:rPr>
  </w:style>
  <w:style w:type="character" w:styleId="1_2" w:customStyle="1">
    <w:name w:val="highlight5"/>
    <w:link w:val="894"/>
    <w:pPr>
      <w:pBdr/>
      <w:spacing/>
      <w:ind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ONLYOFFICE/9.1.0.167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34</cp:revision>
  <dcterms:created xsi:type="dcterms:W3CDTF">2021-06-28T11:55:00Z</dcterms:created>
  <dcterms:modified xsi:type="dcterms:W3CDTF">2025-11-08T08:00:51Z</dcterms:modified>
</cp:coreProperties>
</file>