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0B710471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="00A70897" w:rsidRPr="00A70897">
        <w:rPr>
          <w:rFonts w:ascii="Times New Roman" w:hAnsi="Times New Roman" w:cs="Times New Roman"/>
          <w:b/>
          <w:sz w:val="20"/>
          <w:szCs w:val="20"/>
        </w:rPr>
        <w:t>13125-ОТПП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3F175746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A7089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7089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67436" w:rsidRPr="00B33317">
        <w:rPr>
          <w:rFonts w:ascii="Times New Roman" w:hAnsi="Times New Roman" w:cs="Times New Roman"/>
          <w:sz w:val="20"/>
          <w:szCs w:val="20"/>
        </w:rPr>
        <w:t>«__»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A7089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A2828E5" w14:textId="7A0FA8B9" w:rsidR="00671E61" w:rsidRPr="00B33317" w:rsidRDefault="005B7E30" w:rsidP="00A70897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ООО «РУССИА ОнЛайн»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ОнЛайн</w:t>
      </w:r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>й стороны,</w:t>
      </w:r>
      <w:r w:rsid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D37D7D" w:rsidRPr="00D37D7D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A70897" w:rsidRPr="00A70897">
        <w:rPr>
          <w:rFonts w:ascii="Times New Roman" w:hAnsi="Times New Roman" w:cs="Times New Roman"/>
          <w:sz w:val="20"/>
          <w:szCs w:val="20"/>
        </w:rPr>
        <w:t>Каньшинов</w:t>
      </w:r>
      <w:r w:rsidR="00A70897">
        <w:rPr>
          <w:rFonts w:ascii="Times New Roman" w:hAnsi="Times New Roman" w:cs="Times New Roman"/>
          <w:sz w:val="20"/>
          <w:szCs w:val="20"/>
        </w:rPr>
        <w:t>а</w:t>
      </w:r>
      <w:r w:rsidR="00A70897" w:rsidRPr="00A70897">
        <w:rPr>
          <w:rFonts w:ascii="Times New Roman" w:hAnsi="Times New Roman" w:cs="Times New Roman"/>
          <w:sz w:val="20"/>
          <w:szCs w:val="20"/>
        </w:rPr>
        <w:t xml:space="preserve"> Андре</w:t>
      </w:r>
      <w:r w:rsidR="00A70897">
        <w:rPr>
          <w:rFonts w:ascii="Times New Roman" w:hAnsi="Times New Roman" w:cs="Times New Roman"/>
          <w:sz w:val="20"/>
          <w:szCs w:val="20"/>
        </w:rPr>
        <w:t xml:space="preserve">я </w:t>
      </w:r>
      <w:r w:rsidR="00A70897" w:rsidRPr="00A70897">
        <w:rPr>
          <w:rFonts w:ascii="Times New Roman" w:hAnsi="Times New Roman" w:cs="Times New Roman"/>
          <w:sz w:val="20"/>
          <w:szCs w:val="20"/>
        </w:rPr>
        <w:t>Алексеевич</w:t>
      </w:r>
      <w:r w:rsidR="00A70897">
        <w:rPr>
          <w:rFonts w:ascii="Times New Roman" w:hAnsi="Times New Roman" w:cs="Times New Roman"/>
          <w:sz w:val="20"/>
          <w:szCs w:val="20"/>
        </w:rPr>
        <w:t>а</w:t>
      </w:r>
      <w:r w:rsidR="00A70897" w:rsidRP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A70897">
        <w:rPr>
          <w:rFonts w:ascii="Times New Roman" w:hAnsi="Times New Roman" w:cs="Times New Roman"/>
          <w:sz w:val="20"/>
          <w:szCs w:val="20"/>
        </w:rPr>
        <w:t>(26.02.1977 год рождения</w:t>
      </w:r>
      <w:r w:rsidR="00A70897" w:rsidRPr="00A70897">
        <w:rPr>
          <w:rFonts w:ascii="Times New Roman" w:hAnsi="Times New Roman" w:cs="Times New Roman"/>
          <w:sz w:val="20"/>
          <w:szCs w:val="20"/>
        </w:rPr>
        <w:t>,</w:t>
      </w:r>
      <w:r w:rsid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A70897" w:rsidRPr="00A70897">
        <w:rPr>
          <w:rFonts w:ascii="Times New Roman" w:hAnsi="Times New Roman" w:cs="Times New Roman"/>
          <w:sz w:val="20"/>
          <w:szCs w:val="20"/>
        </w:rPr>
        <w:t>СНИЛС: 053-959-940 09 ИНН 503300435192 регистрация по месту жительства: 140560, Московская область, , г. Озеры, ул. 2-я Северная, д.12Б</w:t>
      </w:r>
      <w:r w:rsidR="00D37D7D">
        <w:rPr>
          <w:rFonts w:ascii="Times New Roman" w:hAnsi="Times New Roman" w:cs="Times New Roman"/>
          <w:sz w:val="20"/>
          <w:szCs w:val="20"/>
        </w:rPr>
        <w:t>)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  Бавин Антон Николаевич, именуемый в дальнейшем «Организатор торгов», действующий на основании решения Арбитражного суда Московской области от 1</w:t>
      </w:r>
      <w:r w:rsidR="00D37D7D">
        <w:rPr>
          <w:rFonts w:ascii="Times New Roman" w:hAnsi="Times New Roman" w:cs="Times New Roman"/>
          <w:sz w:val="20"/>
          <w:szCs w:val="20"/>
        </w:rPr>
        <w:t>1</w:t>
      </w:r>
      <w:r w:rsidR="00B33317" w:rsidRPr="00B33317">
        <w:rPr>
          <w:rFonts w:ascii="Times New Roman" w:hAnsi="Times New Roman" w:cs="Times New Roman"/>
          <w:sz w:val="20"/>
          <w:szCs w:val="20"/>
        </w:rPr>
        <w:t>.</w:t>
      </w:r>
      <w:r w:rsidR="00D37D7D">
        <w:rPr>
          <w:rFonts w:ascii="Times New Roman" w:hAnsi="Times New Roman" w:cs="Times New Roman"/>
          <w:sz w:val="20"/>
          <w:szCs w:val="20"/>
        </w:rPr>
        <w:t>10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.2024 г. по делу № </w:t>
      </w:r>
      <w:r w:rsidR="00A70897" w:rsidRPr="00A70897">
        <w:rPr>
          <w:rFonts w:ascii="Times New Roman" w:hAnsi="Times New Roman" w:cs="Times New Roman"/>
          <w:sz w:val="20"/>
          <w:szCs w:val="20"/>
        </w:rPr>
        <w:t>А41-2803/2025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758C1E32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A70897" w:rsidRPr="00A70897">
        <w:rPr>
          <w:rFonts w:ascii="Times New Roman" w:hAnsi="Times New Roman" w:cs="Times New Roman"/>
          <w:b/>
          <w:bCs/>
          <w:sz w:val="20"/>
          <w:szCs w:val="20"/>
        </w:rPr>
        <w:t>А41-2803/2025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A70897">
        <w:rPr>
          <w:rFonts w:ascii="Times New Roman" w:hAnsi="Times New Roman" w:cs="Times New Roman"/>
          <w:b/>
          <w:bCs/>
          <w:sz w:val="20"/>
          <w:szCs w:val="20"/>
        </w:rPr>
        <w:t>«__» __________ ____ г.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</w:t>
      </w:r>
      <w:r w:rsidR="00A70897" w:rsidRPr="00B33317">
        <w:rPr>
          <w:rFonts w:ascii="Times New Roman" w:hAnsi="Times New Roman" w:cs="Times New Roman"/>
          <w:sz w:val="20"/>
          <w:szCs w:val="20"/>
        </w:rPr>
        <w:t>имущества,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</w:t>
      </w:r>
      <w:r w:rsidR="00A70897" w:rsidRPr="00B33317">
        <w:rPr>
          <w:rFonts w:ascii="Times New Roman" w:hAnsi="Times New Roman" w:cs="Times New Roman"/>
          <w:sz w:val="20"/>
          <w:szCs w:val="20"/>
        </w:rPr>
        <w:t>именно: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A70897" w:rsidRPr="00A70897">
        <w:rPr>
          <w:rFonts w:ascii="Times New Roman" w:hAnsi="Times New Roman" w:cs="Times New Roman"/>
          <w:b/>
          <w:bCs/>
          <w:sz w:val="20"/>
          <w:szCs w:val="20"/>
        </w:rPr>
        <w:t>Грузовой фургон ИВЕКО ЕВРО КАРГО VIN: X0V57155A70000014, год выпуска: 2007, гос.рег.знак: У262СР790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A70897">
        <w:rPr>
          <w:rFonts w:ascii="Times New Roman" w:hAnsi="Times New Roman" w:cs="Times New Roman"/>
          <w:b/>
          <w:bCs/>
          <w:sz w:val="20"/>
          <w:szCs w:val="20"/>
        </w:rPr>
        <w:t>702 000</w:t>
      </w:r>
      <w:r w:rsidR="00A70897" w:rsidRPr="00A7089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F493D4E" w14:textId="2BA739B8" w:rsidR="00A70897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</w:t>
      </w:r>
      <w:r w:rsidR="00A70897">
        <w:rPr>
          <w:rFonts w:ascii="Times New Roman" w:hAnsi="Times New Roman" w:cs="Times New Roman"/>
          <w:sz w:val="20"/>
          <w:szCs w:val="20"/>
        </w:rPr>
        <w:t>ре</w:t>
      </w:r>
      <w:r w:rsidR="00A70897" w:rsidRPr="00A70897">
        <w:rPr>
          <w:rFonts w:ascii="Times New Roman" w:hAnsi="Times New Roman" w:cs="Times New Roman"/>
          <w:sz w:val="20"/>
          <w:szCs w:val="20"/>
        </w:rPr>
        <w:t>,</w:t>
      </w:r>
      <w:r w:rsidR="00A70897">
        <w:rPr>
          <w:rFonts w:ascii="Times New Roman" w:hAnsi="Times New Roman" w:cs="Times New Roman"/>
          <w:sz w:val="20"/>
          <w:szCs w:val="20"/>
        </w:rPr>
        <w:t xml:space="preserve">  определенном на соответствующем этапе снижения цены</w:t>
      </w:r>
      <w:r w:rsidR="00A70897" w:rsidRP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A70897">
        <w:rPr>
          <w:rFonts w:ascii="Times New Roman" w:hAnsi="Times New Roman" w:cs="Times New Roman"/>
          <w:sz w:val="20"/>
          <w:szCs w:val="20"/>
        </w:rPr>
        <w:t xml:space="preserve">на торгах в форме публичного предложения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по продаже имущества</w:t>
      </w:r>
      <w:r w:rsidR="00A70897" w:rsidRPr="00A70897">
        <w:rPr>
          <w:rFonts w:ascii="Times New Roman" w:hAnsi="Times New Roman" w:cs="Times New Roman"/>
          <w:sz w:val="20"/>
          <w:szCs w:val="20"/>
        </w:rPr>
        <w:t>,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>1 (далее объект торгов), а именно : за лот</w:t>
      </w:r>
      <w:r w:rsid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A7089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</w:t>
      </w:r>
      <w:r w:rsidR="00A70897" w:rsidRPr="00A70897">
        <w:rPr>
          <w:rFonts w:ascii="Times New Roman" w:hAnsi="Times New Roman" w:cs="Times New Roman"/>
          <w:b/>
          <w:bCs/>
          <w:sz w:val="20"/>
          <w:szCs w:val="20"/>
        </w:rPr>
        <w:t>Грузовой фургон ИВЕКО ЕВРО КАРГО VIN: X0V57155A70000014, год выпуска: 2007, гос.рег.знак: У262СР790</w:t>
      </w:r>
      <w:r w:rsidR="00A70897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A70897">
        <w:rPr>
          <w:rFonts w:ascii="Times New Roman" w:hAnsi="Times New Roman" w:cs="Times New Roman"/>
          <w:b/>
          <w:bCs/>
          <w:sz w:val="20"/>
          <w:szCs w:val="20"/>
        </w:rPr>
        <w:t>702 000</w:t>
      </w:r>
      <w:r w:rsidR="00A70897" w:rsidRPr="00A7089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A7089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0897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16A21930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A70897" w:rsidRPr="00A70897">
        <w:rPr>
          <w:rFonts w:ascii="Times New Roman" w:hAnsi="Times New Roman" w:cs="Times New Roman"/>
          <w:sz w:val="20"/>
          <w:szCs w:val="20"/>
        </w:rPr>
        <w:t>13125-ОТПП</w:t>
      </w:r>
      <w:r w:rsidR="00A70897" w:rsidRPr="00A70897">
        <w:rPr>
          <w:rFonts w:ascii="Times New Roman" w:hAnsi="Times New Roman" w:cs="Times New Roman"/>
          <w:sz w:val="20"/>
          <w:szCs w:val="20"/>
        </w:rPr>
        <w:t xml:space="preserve"> 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42701D11" w14:textId="495E1804" w:rsidR="00671E61" w:rsidRPr="00A70897" w:rsidRDefault="00A94AEA" w:rsidP="00A7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2B614D" w14:textId="049BF96A" w:rsidR="0038031E" w:rsidRPr="00A70897" w:rsidRDefault="00671E61" w:rsidP="00A708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>р/с ООО «РУССИА ОнЛайн»: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A70897" w:rsidRDefault="00671E61" w:rsidP="00A708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ООО «РУССИА ОнЛайн»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ОнЛайн»: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43EEA"/>
    <w:rsid w:val="00A70897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37D7D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D49DF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2022-06-23T10:31:00Z</cp:lastPrinted>
  <dcterms:created xsi:type="dcterms:W3CDTF">2025-10-15T08:08:00Z</dcterms:created>
  <dcterms:modified xsi:type="dcterms:W3CDTF">2025-10-24T10:48:00Z</dcterms:modified>
</cp:coreProperties>
</file>