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Новороссийск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Arial Narrow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Скрипкина Владимира Валерьевича</w:t>
      </w:r>
      <w:r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/>
          <w:sz w:val="22"/>
        </w:rPr>
        <w:t xml:space="preserve">Краснодарского края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eastAsia="Arial Narrow" w:cs="Times New Roman"/>
          <w:color w:val="000000" w:themeColor="text1"/>
          <w:sz w:val="22"/>
          <w:szCs w:val="22"/>
        </w:rPr>
        <w:t xml:space="preserve">от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.2023 года Дело А32-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41066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/2023</w:t>
      </w:r>
      <w:r>
        <w:rPr>
          <w:rFonts w:ascii="Times New Roman" w:hAnsi="Times New Roman"/>
          <w:sz w:val="22"/>
          <w:szCs w:val="22"/>
        </w:rPr>
        <w:t xml:space="preserve">,</w:t>
      </w:r>
      <w:r/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val="en-US"/>
        </w:rPr>
        <w:t xml:space="preserve">Gtyxerjdf T/F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992"/>
        <w:gridCol w:w="7882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82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8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/>
                  </w:pPr>
                  <w:r>
                    <w:t xml:space="preserve">Лот №1.</w:t>
                  </w:r>
                  <w:r/>
                </w:p>
                <w:p>
                  <w:pPr>
                    <w:pBdr/>
                    <w:spacing/>
                    <w:ind/>
                    <w:rPr/>
                  </w:pPr>
                  <w:r>
                    <w:t xml:space="preserve">Автомобиль  FOFD -TRANSIT 300 TD CI, 2002 г.в., VIN WFOVXXGBFV2T64369(грузовой автомобиль фургон) дизель, передний привод, КПП 5 ст., на условном ходу(бывает изредка глохнет), не дымит, тяга нормальная(чуть подделать по ходовке, и поменять ручку на боковой </w:t>
                  </w:r>
                  <w:r>
                    <w:t xml:space="preserve">двери. ПТС- 23 ОН 382892.</w:t>
                  </w:r>
                  <w:r/>
                </w:p>
                <w:p>
                  <w:pPr>
                    <w:pBdr/>
                    <w:spacing/>
                    <w:ind/>
                    <w:rPr/>
                  </w:pPr>
                  <w:r/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lang w:val="ru-RU"/>
              </w:rPr>
              <w:t xml:space="preserve">3</w:t>
            </w:r>
            <w:r>
              <w:rPr>
                <w:lang w:val="en-US"/>
              </w:rPr>
              <w:t xml:space="preserve">00 000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82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/>
            </w:pPr>
            <w:r>
              <w:rPr>
                <w:color w:val="000000"/>
                <w:sz w:val="22"/>
              </w:rPr>
              <w:t xml:space="preserve">Лот №2.</w:t>
            </w:r>
            <w:r/>
          </w:p>
          <w:p>
            <w:pPr>
              <w:pStyle w:val="928"/>
              <w:pBdr/>
              <w:spacing w:line="200" w:lineRule="atLeast"/>
              <w:ind w:right="2" w:left="2"/>
              <w:jc w:val="both"/>
              <w:rPr/>
            </w:pPr>
            <w:r>
              <w:rPr>
                <w:color w:val="000000"/>
                <w:sz w:val="22"/>
              </w:rPr>
              <w:t xml:space="preserve">FORD-FIESTA,  VIN  WFOJXXGAJJ9G37666, мк-6, 2009г.в., двигатель 1.25-82 л.с., коробка механика 5ст., на полном ходу, чуть подделать ходовку(рулевая рейка, и правую стойку) ПТС 71 УР 356113</w:t>
            </w:r>
            <w:r/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Начальная цена продажи имущества Должника- 320 000(триста двадцать  тысяч) рублей</w:t>
            </w:r>
            <w:r/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  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/>
              <w:ind/>
              <w:rPr/>
            </w:pPr>
            <w:r>
              <w:t xml:space="preserve">320000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82" w:type="dxa"/>
            <w:vMerge w:val="restart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/>
            </w:pPr>
            <w:r>
              <w:rPr>
                <w:color w:val="000000"/>
                <w:sz w:val="22"/>
              </w:rPr>
              <w:t xml:space="preserve">Лот №3.</w:t>
            </w:r>
            <w:r/>
          </w:p>
          <w:p>
            <w:pPr>
              <w:pStyle w:val="928"/>
              <w:pBdr/>
              <w:spacing w:line="200" w:lineRule="atLeast"/>
              <w:ind w:right="2" w:left="2"/>
              <w:jc w:val="both"/>
              <w:rPr/>
            </w:pPr>
            <w:r>
              <w:rPr>
                <w:color w:val="000000"/>
                <w:sz w:val="22"/>
              </w:rPr>
              <w:t xml:space="preserve">RENO MEGAN, 1998 г.в., VIN VFLLAOE05182557755 двигатель разобран,(заклинивший), вся требует ремонта ПТС- 23 ТВ 088272</w:t>
            </w:r>
            <w:r/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Начальная цена продажи имущества Должника- 90 000(девяносто  тысяч) рублей</w:t>
            </w:r>
            <w:r/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8"/>
              <w:pBdr/>
              <w:spacing w:line="200" w:lineRule="atLeast"/>
              <w:ind w:right="2"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  3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/>
              <w:ind/>
              <w:rPr/>
            </w:pPr>
            <w:r/>
            <w:r/>
            <w:r/>
          </w:p>
          <w:p>
            <w:pPr>
              <w:pBdr/>
              <w:spacing/>
              <w:ind/>
              <w:rPr/>
            </w:pPr>
            <w:r>
              <w:t xml:space="preserve">90000</w:t>
            </w:r>
            <w:r/>
          </w:p>
        </w:tc>
      </w:tr>
    </w:tbl>
    <w:p>
      <w:pPr>
        <w:pStyle w:val="930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</w:t>
      </w:r>
      <w:r>
        <w:rPr>
          <w:color w:val="000000"/>
          <w:sz w:val="22"/>
        </w:rPr>
        <w:t xml:space="preserve">23</w:t>
      </w:r>
      <w:r>
        <w:rPr>
          <w:color w:val="000000"/>
          <w:sz w:val="22"/>
        </w:rPr>
        <w:t xml:space="preserve">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Краснодарского края</w:t>
      </w:r>
      <w:r>
        <w:rPr>
          <w:color w:val="000000"/>
          <w:sz w:val="22"/>
        </w:rPr>
        <w:t xml:space="preserve">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747"/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932"/>
                <w:rFonts w:ascii="Times New Roman" w:hAnsi="Times New Roman" w:cs="Times New Roman"/>
                <w:color w:val="0d0d0d"/>
                <w:sz w:val="22"/>
              </w:rPr>
              <w:t xml:space="preserve">Получатель: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Жуков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Михаил Николаевич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Счёт получателя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- № 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40817810077030158687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Банк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получателя: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Калужское отделение №8608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ПАО СБЕРБАНК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БИК Банка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получателя-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042908612 Корреспондентский счёт- 30101810100000000612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  <w:highlight w:val="none"/>
              </w:rPr>
              <w:t xml:space="preserve">ИНН-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7707083893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  <w:highlight w:val="none"/>
              </w:rPr>
              <w:t xml:space="preserve">КПП-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760402001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Bdr>
                <w:left w:val="no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highlight w:val="none"/>
                <w:lang w:eastAsia="ru-RU"/>
              </w:rPr>
            </w:pPr>
            <w:r>
              <w:rPr>
                <w:rStyle w:val="932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А32-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41066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/2023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highlight w:val="none"/>
                <w:lang w:eastAsia="ru-RU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tbl>
            <w:tblPr>
              <w:tblW w:w="9615" w:type="dxa"/>
              <w:tblBorders/>
              <w:tblLayout w:type="fixed"/>
              <w:tblpPr w:horzAnchor="margin" w:tblpXSpec="left" w:vertAnchor="text" w:tblpY="77" w:leftFromText="180" w:topFromText="0" w:rightFromText="180" w:bottomFromText="200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4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8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"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"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8">
    <w:name w:val="Placeholder Text"/>
    <w:basedOn w:val="757"/>
    <w:uiPriority w:val="99"/>
    <w:semiHidden/>
    <w:pPr>
      <w:pBdr/>
      <w:spacing/>
      <w:ind/>
    </w:pPr>
    <w:rPr>
      <w:color w:val="666666"/>
    </w:rPr>
  </w:style>
  <w:style w:type="character" w:styleId="721">
    <w:name w:val="Heading 1 Char"/>
    <w:basedOn w:val="757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2">
    <w:name w:val="Heading 3 Char"/>
    <w:basedOn w:val="757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3">
    <w:name w:val="Heading 4 Char"/>
    <w:basedOn w:val="757"/>
    <w:link w:val="75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4">
    <w:name w:val="Heading 5 Char"/>
    <w:basedOn w:val="757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5">
    <w:name w:val="Heading 6 Char"/>
    <w:basedOn w:val="757"/>
    <w:link w:val="75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6">
    <w:name w:val="Heading 7 Char"/>
    <w:basedOn w:val="757"/>
    <w:link w:val="7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7">
    <w:name w:val="Heading 8 Char"/>
    <w:basedOn w:val="757"/>
    <w:link w:val="7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Heading 9 Char"/>
    <w:basedOn w:val="757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9">
    <w:name w:val="Title Char"/>
    <w:basedOn w:val="757"/>
    <w:link w:val="7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0">
    <w:name w:val="Subtitle Char"/>
    <w:basedOn w:val="757"/>
    <w:link w:val="7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1">
    <w:name w:val="Quote Char"/>
    <w:basedOn w:val="757"/>
    <w:link w:val="7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Intense Emphasis"/>
    <w:basedOn w:val="75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Quote Char"/>
    <w:basedOn w:val="757"/>
    <w:link w:val="77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4">
    <w:name w:val="Intense Reference"/>
    <w:basedOn w:val="75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5">
    <w:name w:val="Subtle Emphasis"/>
    <w:basedOn w:val="75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6">
    <w:name w:val="Emphasis"/>
    <w:basedOn w:val="757"/>
    <w:uiPriority w:val="20"/>
    <w:qFormat/>
    <w:pPr>
      <w:pBdr/>
      <w:spacing/>
      <w:ind/>
    </w:pPr>
    <w:rPr>
      <w:i/>
      <w:iCs/>
    </w:rPr>
  </w:style>
  <w:style w:type="character" w:styleId="737">
    <w:name w:val="Strong"/>
    <w:basedOn w:val="757"/>
    <w:uiPriority w:val="22"/>
    <w:qFormat/>
    <w:pPr>
      <w:pBdr/>
      <w:spacing/>
      <w:ind/>
    </w:pPr>
    <w:rPr>
      <w:b/>
      <w:bCs/>
    </w:rPr>
  </w:style>
  <w:style w:type="character" w:styleId="738">
    <w:name w:val="Subtle Reference"/>
    <w:basedOn w:val="75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9">
    <w:name w:val="Book Title"/>
    <w:basedOn w:val="75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0">
    <w:name w:val="Header Char"/>
    <w:basedOn w:val="757"/>
    <w:link w:val="778"/>
    <w:uiPriority w:val="99"/>
    <w:pPr>
      <w:pBdr/>
      <w:spacing/>
      <w:ind/>
    </w:pPr>
  </w:style>
  <w:style w:type="character" w:styleId="741">
    <w:name w:val="Footnote Text Char"/>
    <w:basedOn w:val="757"/>
    <w:link w:val="911"/>
    <w:uiPriority w:val="99"/>
    <w:semiHidden/>
    <w:pPr>
      <w:pBdr/>
      <w:spacing/>
      <w:ind/>
    </w:pPr>
    <w:rPr>
      <w:sz w:val="20"/>
      <w:szCs w:val="20"/>
    </w:rPr>
  </w:style>
  <w:style w:type="paragraph" w:styleId="742">
    <w:name w:val="endnote text"/>
    <w:basedOn w:val="747"/>
    <w:link w:val="7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43">
    <w:name w:val="Endnote Text Char"/>
    <w:basedOn w:val="757"/>
    <w:link w:val="742"/>
    <w:uiPriority w:val="99"/>
    <w:semiHidden/>
    <w:pPr>
      <w:pBdr/>
      <w:spacing/>
      <w:ind/>
    </w:pPr>
    <w:rPr>
      <w:sz w:val="20"/>
      <w:szCs w:val="20"/>
    </w:rPr>
  </w:style>
  <w:style w:type="character" w:styleId="744">
    <w:name w:val="endnote reference"/>
    <w:basedOn w:val="757"/>
    <w:uiPriority w:val="99"/>
    <w:semiHidden/>
    <w:unhideWhenUsed/>
    <w:pPr>
      <w:pBdr/>
      <w:spacing/>
      <w:ind/>
    </w:pPr>
    <w:rPr>
      <w:vertAlign w:val="superscript"/>
    </w:rPr>
  </w:style>
  <w:style w:type="character" w:styleId="745">
    <w:name w:val="FollowedHyperlink"/>
    <w:basedOn w:val="75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6">
    <w:name w:val="table of figures"/>
    <w:basedOn w:val="747"/>
    <w:next w:val="747"/>
    <w:uiPriority w:val="99"/>
    <w:unhideWhenUsed/>
    <w:pPr>
      <w:pBdr/>
      <w:spacing w:after="0" w:afterAutospacing="0"/>
      <w:ind/>
    </w:pPr>
  </w:style>
  <w:style w:type="paragraph" w:styleId="74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8">
    <w:name w:val="Heading 1"/>
    <w:basedOn w:val="747"/>
    <w:next w:val="747"/>
    <w:link w:val="760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9">
    <w:name w:val="Heading 2"/>
    <w:basedOn w:val="747"/>
    <w:next w:val="747"/>
    <w:link w:val="926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50">
    <w:name w:val="Heading 3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51">
    <w:name w:val="Heading 4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52">
    <w:name w:val="Heading 5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53">
    <w:name w:val="Heading 6"/>
    <w:link w:val="76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4">
    <w:name w:val="Heading 7"/>
    <w:link w:val="76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5">
    <w:name w:val="Heading 8"/>
    <w:link w:val="76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6">
    <w:name w:val="Heading 9"/>
    <w:link w:val="76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7" w:default="1">
    <w:name w:val="Default Paragraph Font"/>
    <w:uiPriority w:val="1"/>
    <w:semiHidden/>
    <w:unhideWhenUsed/>
    <w:pPr>
      <w:pBdr/>
      <w:spacing/>
      <w:ind/>
    </w:pPr>
  </w:style>
  <w:style w:type="table" w:styleId="75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9" w:default="1">
    <w:name w:val="No List"/>
    <w:uiPriority w:val="99"/>
    <w:semiHidden/>
    <w:unhideWhenUsed/>
    <w:pPr>
      <w:pBdr/>
      <w:spacing/>
      <w:ind/>
    </w:pPr>
  </w:style>
  <w:style w:type="character" w:styleId="760" w:customStyle="1">
    <w:name w:val="Заголовок 1 Знак"/>
    <w:link w:val="74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5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70">
    <w:name w:val="Title"/>
    <w:link w:val="771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71" w:customStyle="1">
    <w:name w:val="Заголовок Знак"/>
    <w:link w:val="770"/>
    <w:uiPriority w:val="10"/>
    <w:pPr>
      <w:pBdr/>
      <w:spacing/>
      <w:ind/>
    </w:pPr>
    <w:rPr>
      <w:sz w:val="48"/>
      <w:szCs w:val="48"/>
    </w:rPr>
  </w:style>
  <w:style w:type="paragraph" w:styleId="772">
    <w:name w:val="Subtitle"/>
    <w:basedOn w:val="747"/>
    <w:link w:val="773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73" w:customStyle="1">
    <w:name w:val="Подзаголовок Знак"/>
    <w:link w:val="772"/>
    <w:uiPriority w:val="11"/>
    <w:pPr>
      <w:pBdr/>
      <w:spacing/>
      <w:ind/>
    </w:pPr>
    <w:rPr>
      <w:sz w:val="24"/>
      <w:szCs w:val="24"/>
    </w:rPr>
  </w:style>
  <w:style w:type="paragraph" w:styleId="774">
    <w:name w:val="Quote"/>
    <w:link w:val="775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5" w:customStyle="1">
    <w:name w:val="Цитата 2 Знак"/>
    <w:link w:val="774"/>
    <w:uiPriority w:val="29"/>
    <w:pPr>
      <w:pBdr/>
      <w:spacing/>
      <w:ind/>
    </w:pPr>
    <w:rPr>
      <w:i/>
    </w:rPr>
  </w:style>
  <w:style w:type="paragraph" w:styleId="776">
    <w:name w:val="Intense Quote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7" w:customStyle="1">
    <w:name w:val="Выделенная цитата Знак"/>
    <w:link w:val="776"/>
    <w:uiPriority w:val="30"/>
    <w:pPr>
      <w:pBdr/>
      <w:spacing/>
      <w:ind/>
    </w:pPr>
    <w:rPr>
      <w:i/>
    </w:rPr>
  </w:style>
  <w:style w:type="paragraph" w:styleId="778">
    <w:name w:val="Header"/>
    <w:link w:val="779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9" w:customStyle="1">
    <w:name w:val="Верхний колонтитул Знак"/>
    <w:link w:val="778"/>
    <w:uiPriority w:val="99"/>
    <w:pPr>
      <w:pBdr/>
      <w:spacing/>
      <w:ind/>
    </w:pPr>
  </w:style>
  <w:style w:type="paragraph" w:styleId="780">
    <w:name w:val="Footer"/>
    <w:basedOn w:val="747"/>
    <w:link w:val="783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81" w:customStyle="1">
    <w:name w:val="Footer Char"/>
    <w:uiPriority w:val="99"/>
    <w:pPr>
      <w:pBdr/>
      <w:spacing/>
      <w:ind/>
    </w:pPr>
  </w:style>
  <w:style w:type="paragraph" w:styleId="782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83" w:customStyle="1">
    <w:name w:val="Нижний колонтитул Знак"/>
    <w:link w:val="780"/>
    <w:uiPriority w:val="99"/>
    <w:pPr>
      <w:pBdr/>
      <w:spacing/>
      <w:ind/>
    </w:pPr>
  </w:style>
  <w:style w:type="table" w:styleId="784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>
    <w:name w:val="Hyperlink"/>
    <w:pPr>
      <w:pBdr/>
      <w:spacing/>
      <w:ind/>
    </w:pPr>
    <w:rPr>
      <w:color w:val="0000ff"/>
      <w:u w:val="single"/>
    </w:rPr>
  </w:style>
  <w:style w:type="paragraph" w:styleId="911">
    <w:name w:val="footnote text"/>
    <w:link w:val="912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12" w:customStyle="1">
    <w:name w:val="Текст сноски Знак"/>
    <w:link w:val="911"/>
    <w:uiPriority w:val="99"/>
    <w:pPr>
      <w:pBdr/>
      <w:spacing/>
      <w:ind/>
    </w:pPr>
    <w:rPr>
      <w:sz w:val="18"/>
    </w:rPr>
  </w:style>
  <w:style w:type="character" w:styleId="91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4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5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6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7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8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9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20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21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22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23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4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5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6" w:customStyle="1">
    <w:name w:val="Заголовок 2 Знак"/>
    <w:link w:val="749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7" w:customStyle="1">
    <w:name w:val="ConsPlusNormal"/>
    <w:next w:val="74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8" w:customStyle="1">
    <w:name w:val="Содержимое таблицы"/>
    <w:basedOn w:val="747"/>
    <w:pPr>
      <w:pBdr/>
      <w:spacing/>
      <w:ind/>
    </w:pPr>
  </w:style>
  <w:style w:type="paragraph" w:styleId="929">
    <w:name w:val="Body Text Indent"/>
    <w:basedOn w:val="747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30">
    <w:name w:val="Block Text"/>
    <w:basedOn w:val="747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31" w:customStyle="1">
    <w:name w:val="Название"/>
    <w:basedOn w:val="747"/>
    <w:next w:val="772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32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2021-06-28T11:55:00Z</dcterms:created>
  <dcterms:modified xsi:type="dcterms:W3CDTF">2025-08-27T08:29:36Z</dcterms:modified>
</cp:coreProperties>
</file>