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25" w:rsidRDefault="003D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О ВНЕСЕНИИ ЗАДАТКА</w:t>
      </w:r>
    </w:p>
    <w:p w:rsidR="008D5625" w:rsidRDefault="003D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 УЧАСТИЕ В ЭЛЕКТРОННЫХ ТОРГАХ № ______</w:t>
      </w:r>
    </w:p>
    <w:p w:rsidR="008D5625" w:rsidRDefault="008D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                                                                                                          «__» ___________ 20___г.</w:t>
      </w:r>
    </w:p>
    <w:p w:rsidR="008D5625" w:rsidRDefault="008D56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ООО «РУССИА </w:t>
      </w:r>
      <w:proofErr w:type="spellStart"/>
      <w:r>
        <w:rPr>
          <w:rFonts w:ascii="Times New Roman" w:eastAsia="Times New Roman" w:hAnsi="Times New Roman" w:cs="Times New Roman"/>
        </w:rPr>
        <w:t>ОнЛайн</w:t>
      </w:r>
      <w:proofErr w:type="spellEnd"/>
      <w:r>
        <w:rPr>
          <w:rFonts w:ascii="Times New Roman" w:eastAsia="Times New Roman" w:hAnsi="Times New Roman" w:cs="Times New Roman"/>
        </w:rPr>
        <w:t xml:space="preserve">» в лице генерального директора, действующего на основании Устава, именуемый в дальнейшем «Оператор» Электронной торговой площадки РУССИА </w:t>
      </w:r>
      <w:proofErr w:type="spellStart"/>
      <w:r>
        <w:rPr>
          <w:rFonts w:ascii="Times New Roman" w:eastAsia="Times New Roman" w:hAnsi="Times New Roman" w:cs="Times New Roman"/>
        </w:rPr>
        <w:t>ОнЛайн</w:t>
      </w:r>
      <w:proofErr w:type="spellEnd"/>
      <w:r>
        <w:rPr>
          <w:rFonts w:ascii="Times New Roman" w:eastAsia="Times New Roman" w:hAnsi="Times New Roman" w:cs="Times New Roman"/>
        </w:rPr>
        <w:t xml:space="preserve">, с одной стороны, финансовый управляющий </w:t>
      </w:r>
      <w:proofErr w:type="spellStart"/>
      <w:r>
        <w:rPr>
          <w:rFonts w:ascii="Times New Roman" w:eastAsia="Times New Roman" w:hAnsi="Times New Roman" w:cs="Times New Roman"/>
        </w:rPr>
        <w:t>Коробейникова</w:t>
      </w:r>
      <w:proofErr w:type="spellEnd"/>
      <w:r>
        <w:rPr>
          <w:rFonts w:ascii="Times New Roman" w:eastAsia="Times New Roman" w:hAnsi="Times New Roman" w:cs="Times New Roman"/>
        </w:rPr>
        <w:t xml:space="preserve"> Светлана Генриховна, утвержденная </w:t>
      </w:r>
      <w:r w:rsidR="0016218D" w:rsidRPr="0016218D">
        <w:rPr>
          <w:rFonts w:ascii="Times New Roman" w:eastAsia="Calibri" w:hAnsi="Times New Roman" w:cs="Times New Roman"/>
          <w:noProof/>
          <w:lang w:eastAsia="en-US"/>
        </w:rPr>
        <w:t>Решени</w:t>
      </w:r>
      <w:r w:rsidR="0016218D">
        <w:rPr>
          <w:rFonts w:ascii="Times New Roman" w:eastAsia="Calibri" w:hAnsi="Times New Roman" w:cs="Times New Roman"/>
          <w:noProof/>
          <w:lang w:eastAsia="en-US"/>
        </w:rPr>
        <w:t>ем</w:t>
      </w:r>
      <w:r w:rsidR="0016218D" w:rsidRPr="0016218D">
        <w:rPr>
          <w:rFonts w:ascii="Times New Roman" w:eastAsia="Calibri" w:hAnsi="Times New Roman" w:cs="Times New Roman"/>
          <w:noProof/>
          <w:lang w:eastAsia="en-US"/>
        </w:rPr>
        <w:t xml:space="preserve"> Арбитражного суда Чувашской Республики - Чувашии от 24.10.2024 г. по делу № А79-8565/2024</w:t>
      </w:r>
      <w:r>
        <w:rPr>
          <w:rFonts w:ascii="Times New Roman" w:eastAsia="Times New Roman" w:hAnsi="Times New Roman" w:cs="Times New Roman"/>
        </w:rPr>
        <w:t>, именуемый в дальнейшем «Организатор торгов», а также ___________________________________________________________ именуемый  в дальнейшем «Участник торгов», в лице ________________, заключили настоящий договор 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нижеследующем</w:t>
      </w:r>
      <w:proofErr w:type="gramEnd"/>
      <w:r>
        <w:rPr>
          <w:rFonts w:ascii="Times New Roman" w:eastAsia="Times New Roman" w:hAnsi="Times New Roman" w:cs="Times New Roman"/>
        </w:rPr>
        <w:t>:</w:t>
      </w:r>
    </w:p>
    <w:p w:rsidR="008D5625" w:rsidRDefault="008D56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ДОГОВОРА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Оператор оказывает Организатору торгов услугу по предоставлению своего расчетного счета для приема задатков в счет обеспечения исполнения </w:t>
      </w:r>
      <w:proofErr w:type="gramStart"/>
      <w:r>
        <w:rPr>
          <w:rFonts w:ascii="Times New Roman" w:eastAsia="Times New Roman" w:hAnsi="Times New Roman" w:cs="Times New Roman"/>
        </w:rPr>
        <w:t>обязательств</w:t>
      </w:r>
      <w:proofErr w:type="gramEnd"/>
      <w:r>
        <w:rPr>
          <w:rFonts w:ascii="Times New Roman" w:eastAsia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№ </w:t>
      </w:r>
      <w:r w:rsidR="0016218D" w:rsidRPr="0016218D">
        <w:rPr>
          <w:rFonts w:ascii="Times New Roman" w:eastAsia="Times New Roman" w:hAnsi="Times New Roman" w:cs="Times New Roman"/>
        </w:rPr>
        <w:t>А79-8565/2024</w:t>
      </w:r>
      <w:r w:rsidR="0016218D">
        <w:rPr>
          <w:rFonts w:ascii="Times New Roman" w:eastAsia="Times New Roman" w:hAnsi="Times New Roman" w:cs="Times New Roman"/>
        </w:rPr>
        <w:t>, назначенных на 06.06</w:t>
      </w:r>
      <w:r>
        <w:rPr>
          <w:rFonts w:ascii="Times New Roman" w:eastAsia="Times New Roman" w:hAnsi="Times New Roman" w:cs="Times New Roman"/>
        </w:rPr>
        <w:t xml:space="preserve">.2025 г. в 10 часов 00 минут по московскому времени по продаже имущества выставляемого </w:t>
      </w:r>
      <w:r w:rsidRPr="003D133A">
        <w:rPr>
          <w:rFonts w:ascii="Times New Roman" w:eastAsia="Times New Roman" w:hAnsi="Times New Roman" w:cs="Times New Roman"/>
        </w:rPr>
        <w:t>лот</w:t>
      </w:r>
      <w:r>
        <w:rPr>
          <w:rFonts w:ascii="Times New Roman" w:eastAsia="Times New Roman" w:hAnsi="Times New Roman" w:cs="Times New Roman"/>
        </w:rPr>
        <w:t>ом:</w:t>
      </w:r>
    </w:p>
    <w:p w:rsidR="003D133A" w:rsidRP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33A">
        <w:rPr>
          <w:rFonts w:ascii="Times New Roman" w:eastAsia="Times New Roman" w:hAnsi="Times New Roman" w:cs="Times New Roman"/>
        </w:rPr>
        <w:t xml:space="preserve"> № 1: </w:t>
      </w:r>
      <w:r w:rsidR="0016218D" w:rsidRPr="0016218D">
        <w:rPr>
          <w:rFonts w:ascii="Times New Roman" w:eastAsia="Times New Roman" w:hAnsi="Times New Roman" w:cs="Times New Roman"/>
        </w:rPr>
        <w:t xml:space="preserve">Легковой автомобиль, марка: </w:t>
      </w:r>
      <w:proofErr w:type="spellStart"/>
      <w:r w:rsidR="0016218D" w:rsidRPr="0016218D">
        <w:rPr>
          <w:rFonts w:ascii="Times New Roman" w:eastAsia="Times New Roman" w:hAnsi="Times New Roman" w:cs="Times New Roman"/>
        </w:rPr>
        <w:t>Lada</w:t>
      </w:r>
      <w:proofErr w:type="spellEnd"/>
      <w:r w:rsidR="0016218D" w:rsidRPr="001621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6218D" w:rsidRPr="0016218D">
        <w:rPr>
          <w:rFonts w:ascii="Times New Roman" w:eastAsia="Times New Roman" w:hAnsi="Times New Roman" w:cs="Times New Roman"/>
        </w:rPr>
        <w:t>Largus</w:t>
      </w:r>
      <w:proofErr w:type="spellEnd"/>
      <w:r w:rsidR="0016218D" w:rsidRPr="0016218D">
        <w:rPr>
          <w:rFonts w:ascii="Times New Roman" w:eastAsia="Times New Roman" w:hAnsi="Times New Roman" w:cs="Times New Roman"/>
        </w:rPr>
        <w:t xml:space="preserve">, модель: RS0Y5L, год изготовления: 2014 </w:t>
      </w:r>
      <w:proofErr w:type="spellStart"/>
      <w:r w:rsidR="0016218D" w:rsidRPr="0016218D">
        <w:rPr>
          <w:rFonts w:ascii="Times New Roman" w:eastAsia="Times New Roman" w:hAnsi="Times New Roman" w:cs="Times New Roman"/>
        </w:rPr>
        <w:t>г.в</w:t>
      </w:r>
      <w:proofErr w:type="spellEnd"/>
      <w:r w:rsidR="0016218D" w:rsidRPr="0016218D">
        <w:rPr>
          <w:rFonts w:ascii="Times New Roman" w:eastAsia="Times New Roman" w:hAnsi="Times New Roman" w:cs="Times New Roman"/>
        </w:rPr>
        <w:t>., цвет: серебристый, VIN: XTARSOY5LE0789239, ПТС: 63 НХ 197191, г/н: К688УУ21, разрешенная максимальная масса: 1850 кг, масса без нагрузки: 1370 кг</w:t>
      </w:r>
      <w:r w:rsidRPr="003D133A">
        <w:rPr>
          <w:rFonts w:ascii="Times New Roman" w:eastAsia="Times New Roman" w:hAnsi="Times New Roman" w:cs="Times New Roman"/>
        </w:rPr>
        <w:t xml:space="preserve">, начальная цена продажи: </w:t>
      </w:r>
      <w:r w:rsidR="0016218D">
        <w:rPr>
          <w:rFonts w:ascii="Times New Roman" w:eastAsia="Times New Roman" w:hAnsi="Times New Roman" w:cs="Times New Roman"/>
        </w:rPr>
        <w:t>375800,00</w:t>
      </w:r>
      <w:r w:rsidRPr="003D133A">
        <w:rPr>
          <w:rFonts w:ascii="Times New Roman" w:eastAsia="Times New Roman" w:hAnsi="Times New Roman" w:cs="Times New Roman"/>
        </w:rPr>
        <w:t xml:space="preserve"> руб.; </w:t>
      </w:r>
    </w:p>
    <w:p w:rsidR="003D133A" w:rsidRP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Участник торгов передает, а Оператор принимает задаток в размере 3%</w:t>
      </w:r>
      <w:r w:rsidRPr="003D133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начальной цены продажи лота</w:t>
      </w:r>
      <w:r>
        <w:rPr>
          <w:rFonts w:ascii="Times New Roman" w:eastAsia="Times New Roman" w:hAnsi="Times New Roman" w:cs="Times New Roman"/>
        </w:rPr>
        <w:t xml:space="preserve"> в счет обеспечения исполнения </w:t>
      </w:r>
      <w:proofErr w:type="gramStart"/>
      <w:r>
        <w:rPr>
          <w:rFonts w:ascii="Times New Roman" w:eastAsia="Times New Roman" w:hAnsi="Times New Roman" w:cs="Times New Roman"/>
        </w:rPr>
        <w:t>обязательств</w:t>
      </w:r>
      <w:proofErr w:type="gramEnd"/>
      <w:r>
        <w:rPr>
          <w:rFonts w:ascii="Times New Roman" w:eastAsia="Times New Roman" w:hAnsi="Times New Roman" w:cs="Times New Roman"/>
        </w:rPr>
        <w:t xml:space="preserve"> по оплате продаваемого в открытых торгах в электронной форме при продаже имущества, в ходе процедур, применяемых в деле о банкротстве № </w:t>
      </w:r>
      <w:r w:rsidR="0016218D" w:rsidRPr="0016218D">
        <w:rPr>
          <w:rFonts w:ascii="Times New Roman" w:eastAsia="Times New Roman" w:hAnsi="Times New Roman" w:cs="Times New Roman"/>
        </w:rPr>
        <w:t>А79-8565/2024</w:t>
      </w:r>
      <w:r>
        <w:rPr>
          <w:rFonts w:ascii="Times New Roman" w:eastAsia="Times New Roman" w:hAnsi="Times New Roman" w:cs="Times New Roman"/>
        </w:rPr>
        <w:t xml:space="preserve">, назначенных на </w:t>
      </w:r>
      <w:r w:rsidR="0016218D" w:rsidRPr="0016218D">
        <w:rPr>
          <w:rFonts w:ascii="Times New Roman" w:eastAsia="Times New Roman" w:hAnsi="Times New Roman" w:cs="Times New Roman"/>
        </w:rPr>
        <w:t>06.06.2025</w:t>
      </w:r>
      <w:r>
        <w:rPr>
          <w:rFonts w:ascii="Times New Roman" w:eastAsia="Times New Roman" w:hAnsi="Times New Roman" w:cs="Times New Roman"/>
        </w:rPr>
        <w:t xml:space="preserve">г. в 10 часов 00 минут по московскому времени по продаже имущества выставляемого </w:t>
      </w:r>
      <w:r w:rsidRPr="003D133A">
        <w:rPr>
          <w:rFonts w:ascii="Times New Roman" w:eastAsia="Times New Roman" w:hAnsi="Times New Roman" w:cs="Times New Roman"/>
        </w:rPr>
        <w:t>лотом:</w:t>
      </w:r>
    </w:p>
    <w:p w:rsidR="0016218D" w:rsidRPr="0016218D" w:rsidRDefault="003D133A" w:rsidP="00162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33A">
        <w:rPr>
          <w:rFonts w:ascii="Times New Roman" w:eastAsia="Times New Roman" w:hAnsi="Times New Roman" w:cs="Times New Roman"/>
        </w:rPr>
        <w:t xml:space="preserve"> </w:t>
      </w:r>
      <w:r w:rsidR="0016218D" w:rsidRPr="0016218D">
        <w:rPr>
          <w:rFonts w:ascii="Times New Roman" w:eastAsia="Times New Roman" w:hAnsi="Times New Roman" w:cs="Times New Roman"/>
        </w:rPr>
        <w:t xml:space="preserve">№ 1: Легковой автомобиль, марка: </w:t>
      </w:r>
      <w:proofErr w:type="spellStart"/>
      <w:r w:rsidR="0016218D" w:rsidRPr="0016218D">
        <w:rPr>
          <w:rFonts w:ascii="Times New Roman" w:eastAsia="Times New Roman" w:hAnsi="Times New Roman" w:cs="Times New Roman"/>
        </w:rPr>
        <w:t>Lada</w:t>
      </w:r>
      <w:proofErr w:type="spellEnd"/>
      <w:r w:rsidR="0016218D" w:rsidRPr="001621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6218D" w:rsidRPr="0016218D">
        <w:rPr>
          <w:rFonts w:ascii="Times New Roman" w:eastAsia="Times New Roman" w:hAnsi="Times New Roman" w:cs="Times New Roman"/>
        </w:rPr>
        <w:t>Largus</w:t>
      </w:r>
      <w:proofErr w:type="spellEnd"/>
      <w:r w:rsidR="0016218D" w:rsidRPr="0016218D">
        <w:rPr>
          <w:rFonts w:ascii="Times New Roman" w:eastAsia="Times New Roman" w:hAnsi="Times New Roman" w:cs="Times New Roman"/>
        </w:rPr>
        <w:t xml:space="preserve">, модель: RS0Y5L, год изготовления: 2014 </w:t>
      </w:r>
      <w:proofErr w:type="spellStart"/>
      <w:r w:rsidR="0016218D" w:rsidRPr="0016218D">
        <w:rPr>
          <w:rFonts w:ascii="Times New Roman" w:eastAsia="Times New Roman" w:hAnsi="Times New Roman" w:cs="Times New Roman"/>
        </w:rPr>
        <w:t>г.в</w:t>
      </w:r>
      <w:proofErr w:type="spellEnd"/>
      <w:r w:rsidR="0016218D" w:rsidRPr="0016218D">
        <w:rPr>
          <w:rFonts w:ascii="Times New Roman" w:eastAsia="Times New Roman" w:hAnsi="Times New Roman" w:cs="Times New Roman"/>
        </w:rPr>
        <w:t xml:space="preserve">., цвет: серебристый, VIN: XTARSOY5LE0789239, ПТС: 63 НХ 197191, г/н: К688УУ21, разрешенная максимальная масса: 1850 кг, масса без нагрузки: 1370 кг, начальная цена продажи: 375800,00 руб.; </w:t>
      </w:r>
    </w:p>
    <w:p w:rsidR="008D5625" w:rsidRDefault="003D133A" w:rsidP="00162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1.3. Участник торгов обязуется подтвердить Организатору торгов внесение задатка на расчетный счет установленными действующим законодательством документами. Требования к порядку оформления и предоставления документов, опубликованных на сайте Оператора по торгам № ____ Участнику понятны, и он полностью с ними согласен.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1.4. Организатор торгов обязуется оплатить банковскую комиссию за услуги по предоставлению расчетного счета для приема задатков. 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РЕКВИЗИТЫ ОПЛАТЫ ЗАДАТКА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2.1. Реквизиты для перечисления задатка: расчетный счет р/с ООО «РУССИА </w:t>
      </w:r>
      <w:proofErr w:type="spellStart"/>
      <w:r>
        <w:rPr>
          <w:rFonts w:ascii="Times New Roman" w:eastAsia="Times New Roman" w:hAnsi="Times New Roman" w:cs="Times New Roman"/>
        </w:rPr>
        <w:t>ОнЛайн</w:t>
      </w:r>
      <w:proofErr w:type="spellEnd"/>
      <w:r>
        <w:rPr>
          <w:rFonts w:ascii="Times New Roman" w:eastAsia="Times New Roman" w:hAnsi="Times New Roman" w:cs="Times New Roman"/>
        </w:rPr>
        <w:t>»: № 40702810500000149166 в Филиал "ЦЕНТРАЛЬНЫЙ" Банка ВТБ ПАО Г. МОСКВА, к/с 30101810145250000411, БИК 044525411</w:t>
      </w:r>
      <w:r>
        <w:rPr>
          <w:rFonts w:ascii="Open Sans" w:eastAsia="Open Sans" w:hAnsi="Open Sans" w:cs="Open Sans"/>
          <w:color w:val="808D9A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ИНН 7715401966; КПП 773001001</w:t>
      </w:r>
    </w:p>
    <w:p w:rsidR="008D5625" w:rsidRDefault="008D5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8D5625" w:rsidRDefault="003D133A">
      <w:pPr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ПОРЯДОК ВОЗВРАТА ЗАДАТКА. ПОРЯДОК ПЕРЕЧИСЛЕНИЯ ЗАДАТКА ПОБЕДИТЕЛЯ ТОРГОВ НА СЧЕТ ДОЛЖНИКА (ОРГАНИЗАТОРА ТОРГОВ)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Участнику торгов – юридическому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3.2.  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Победителю торгов задаток засчитывается в счет оплаты за имущество,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уклонении или отказе победителя открытых торгов, от подписания в установленный срок протокола о результатах торгов, либо от заключения договора купли-продажи имущества,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4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ПОРЯДОК ОПЛАТЫ УСЛУГИ ПО ПРЕДОСТАВЛЕНИЮ РАСЧЕТНОГО СЧЕТА ДЛЯ ПРИЕМА ЗАДАТКОВ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банкротов, Организатором торгов имуществом которых он является.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Комиссия банка, обслуживающего расчетный счет Оператора, составляет: 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2"/>
        <w:gridCol w:w="2137"/>
      </w:tblGrid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Сумма комиссии банка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Организатора перечисления поступившего задатка</w:t>
      </w:r>
      <w:r>
        <w:rPr>
          <w:rFonts w:ascii="Times New Roman" w:eastAsia="Times New Roman" w:hAnsi="Times New Roman" w:cs="Times New Roman"/>
        </w:rPr>
        <w:t xml:space="preserve">. 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:rsidR="008D5625" w:rsidRDefault="008D56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ИНЫЕ УСЛОВИЯ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и прекращает свое действие после исполнения Сторонами всех обязательств по нему.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5.2.  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Споры, возникшие в результате действия настоящего договора, разрешаются в установленном порядке в Арбитражном суде г. Москвы.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Настоящий Договор составлен в 3 (Трех) экземплярах, имеющих одинаковую юридическую силу, по одному для каждой из Сторон.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РЕКВИЗИТЫ СТОРОН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1"/>
        <w:gridCol w:w="4902"/>
      </w:tblGrid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торгов</w:t>
            </w:r>
          </w:p>
          <w:p w:rsidR="008D5625" w:rsidRDefault="008D5625">
            <w:pPr>
              <w:spacing w:after="0" w:line="240" w:lineRule="auto"/>
            </w:pPr>
          </w:p>
        </w:tc>
      </w:tr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ООО «РУССИА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>
              <w:rPr>
                <w:rFonts w:ascii="Tahoma" w:eastAsia="Tahoma" w:hAnsi="Tahoma" w:cs="Tahoma"/>
                <w:color w:val="14141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 и адрес для корреспонденции: 105082, г. Москва, ул. Фридриха Энгельса, д.75, стр.5, оф. 621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1157746027878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7715401966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/773001001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/с ООО «РУССИА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Тел. (495) 917-90-36, 669-34-07, 669-36-71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: rus-on@rus-on.ru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 Э.___________________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8D5625" w:rsidRDefault="008D5625">
            <w:pPr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Наименование&gt;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Юр. Адрес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Факт адрес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ОГРН: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ОГРН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ИНН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Р/с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Номер корреспондентского счета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БИК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&lt;Руководитель, уполномоченное лицо&gt;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_______________________________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</w:pPr>
          </w:p>
        </w:tc>
      </w:tr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8D56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Генриховна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 428003, г. Чебоксары, ул. Энгельса, д. 28, пом. 10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428003, г. Чебоксары, ул. Энгельса, д. 28, пом. 10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ИНН: 212701605923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№ 408 17 810 9 75020074365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ЧУВАШСКОМ ОТДЕЛЕНИИ N8613 ПАО СБЕРБАНК Г.ЧЕБОКСАРЫ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К/с № 30101810300000000609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БИК: 049706609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89030654646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npsgau-cheb@mail.ru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Финансовый управляющий 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_______________________________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8D56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D5625" w:rsidRDefault="008D56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D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5C9"/>
    <w:multiLevelType w:val="multilevel"/>
    <w:tmpl w:val="74AA0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843F5"/>
    <w:multiLevelType w:val="multilevel"/>
    <w:tmpl w:val="C2DE3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948E6"/>
    <w:multiLevelType w:val="multilevel"/>
    <w:tmpl w:val="BB3A1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E4782"/>
    <w:multiLevelType w:val="multilevel"/>
    <w:tmpl w:val="35321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01E86"/>
    <w:multiLevelType w:val="multilevel"/>
    <w:tmpl w:val="40846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625"/>
    <w:rsid w:val="0016218D"/>
    <w:rsid w:val="003D133A"/>
    <w:rsid w:val="008D5625"/>
    <w:rsid w:val="009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2025-02-26T06:52:00Z</dcterms:created>
  <dcterms:modified xsi:type="dcterms:W3CDTF">2025-04-21T12:37:00Z</dcterms:modified>
</cp:coreProperties>
</file>